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7.png" ContentType="image/png"/>
  <Override PartName="/word/media/rId31.png" ContentType="image/png"/>
  <Override PartName="/word/media/rId2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hafta-16-final-dönemi-quiz-2"/>
    <w:p>
      <w:pPr>
        <w:pStyle w:val="Heading1"/>
      </w:pPr>
      <w:r>
        <w:t xml:space="preserve">Hafta 16 — Final Dönemi: Quiz-2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04–17.01.2027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ÖÇ.2–7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 ne oluyor?</w:t>
      </w:r>
    </w:p>
    <w:p>
      <w:pPr>
        <w:pStyle w:val="BlockText"/>
      </w:pPr>
      <w:r>
        <w:t xml:space="preserve">Final döneminde</w:t>
      </w:r>
      <w:r>
        <w:t xml:space="preserve"> </w:t>
      </w:r>
      <w:r>
        <w:rPr>
          <w:b/>
          <w:bCs/>
        </w:rPr>
        <w:t xml:space="preserve">Quiz-2</w:t>
      </w:r>
      <w:r>
        <w:t xml:space="preserve"> </w:t>
      </w:r>
      <w:r>
        <w:t xml:space="preserve">yapılır. Kapsam</w:t>
      </w:r>
      <w:r>
        <w:t xml:space="preserve"> </w:t>
      </w:r>
      <w:r>
        <w:rPr>
          <w:b/>
          <w:bCs/>
        </w:rPr>
        <w:t xml:space="preserve">9–14. haftaların</w:t>
      </w:r>
      <w:r>
        <w:t xml:space="preserve"> </w:t>
      </w:r>
      <w:r>
        <w:t xml:space="preserve">konularıdır; Quiz-2 final notunun</w:t>
      </w:r>
      <w:r>
        <w:t xml:space="preserve"> </w:t>
      </w:r>
      <w:r>
        <w:rPr>
          <w:b/>
          <w:bCs/>
        </w:rPr>
        <w:t xml:space="preserve">%30’udur</w:t>
      </w:r>
      <w:r>
        <w:t xml:space="preserve"> </w:t>
      </w:r>
      <w:r>
        <w:t xml:space="preserve">(</w:t>
      </w:r>
      <w:r>
        <w:rPr>
          <w:rStyle w:val="VerbatimChar"/>
        </w:rPr>
        <w:t xml:space="preserve">Not_Final = 0,7·RAP2 + 0,3·QUIZ2</w:t>
      </w:r>
      <w:r>
        <w:t xml:space="preserve">). Tarih, saat, yer, süre ve soru biçimi ders sınıfında duyurulur. Bu sayfa bir</w:t>
      </w:r>
      <w:r>
        <w:t xml:space="preserve"> </w:t>
      </w:r>
      <w:r>
        <w:rPr>
          <w:b/>
          <w:bCs/>
        </w:rPr>
        <w:t xml:space="preserve">çalışma rehberidir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En verimli çalışma yolu</w:t>
      </w:r>
    </w:p>
    <w:p>
      <w:pPr>
        <w:pStyle w:val="BlockText"/>
      </w:pPr>
      <w:r>
        <w:t xml:space="preserve">Her haftanın</w:t>
      </w:r>
      <w:r>
        <w:t xml:space="preserve"> </w:t>
      </w:r>
      <w:r>
        <w:t xml:space="preserve">“Kendini sınama”</w:t>
      </w:r>
      <w:r>
        <w:t xml:space="preserve"> </w:t>
      </w:r>
      <w:r>
        <w:t xml:space="preserve">sorularını cevaplara bakmadan cevaplayın; 10. haftanın OpenSSL adımlarını ve 13. haftanın</w:t>
      </w:r>
      <w:r>
        <w:t xml:space="preserve"> </w:t>
      </w:r>
      <w:r>
        <w:t xml:space="preserve">uyum matrisi etkinliğini bir kez daha kendiniz yapın. Ezber değil,</w:t>
      </w:r>
      <w:r>
        <w:t xml:space="preserve"> </w:t>
      </w:r>
      <w:r>
        <w:rPr>
          <w:b/>
          <w:bCs/>
        </w:rPr>
        <w:t xml:space="preserve">neden</w:t>
      </w:r>
      <w:r>
        <w:t xml:space="preserve"> </w:t>
      </w:r>
      <w:r>
        <w:t xml:space="preserve">sorusu ölçülür.</w:t>
      </w:r>
    </w:p>
    <w:p>
      <w:r>
        <w:pict>
          <v:rect style="width:0;height:1.5pt" o:hralign="center" o:hrstd="t" o:hr="t"/>
        </w:pict>
      </w:r>
    </w:p>
    <w:bookmarkStart w:id="23" w:name="konu-haritası-914.-haftalar"/>
    <w:p>
      <w:pPr>
        <w:pStyle w:val="Heading2"/>
      </w:pPr>
      <w:r>
        <w:t xml:space="preserve">1. Konu haritası: 9–14. haftalar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Hafta</w:t>
            </w:r>
          </w:p>
        </w:tc>
        <w:tc>
          <w:tcPr/>
          <w:p>
            <w:pPr>
              <w:pStyle w:val="Compact"/>
            </w:pPr>
            <w:r>
              <w:t xml:space="preserve">Konular (izlence)</w:t>
            </w:r>
          </w:p>
        </w:tc>
        <w:tc>
          <w:tcPr/>
          <w:p>
            <w:pPr>
              <w:pStyle w:val="Compact"/>
            </w:pPr>
            <w:r>
              <w:t xml:space="preserve">Çalışırken odaklanın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</w:t>
            </w:r>
            <w:r>
              <w:t xml:space="preserve"> </w:t>
            </w:r>
            <w:r>
              <w:t xml:space="preserve">Gelişmiş kod gizleme ve çeşitlendirme</w:t>
            </w:r>
          </w:p>
        </w:tc>
        <w:tc>
          <w:tcPr/>
          <w:p>
            <w:pPr>
              <w:pStyle w:val="Compact"/>
            </w:pPr>
            <w:r>
              <w:t xml:space="preserve">Gizleme taksonomisi; opak yüklemler, sahte akış, ölü kod; veri kodlama; sanallaştırma tabanlı gizleme; gizlemenin ölçülmesi (güç, dayanıklılık, maliyet)</w:t>
            </w:r>
          </w:p>
        </w:tc>
        <w:tc>
          <w:tcPr/>
          <w:p>
            <w:pPr>
              <w:pStyle w:val="Compact"/>
            </w:pPr>
            <w:r>
              <w:t xml:space="preserve">Gizlemenin amacı ve maliyeti; ölçme ölçütleri; 4. haftadaki temel teknikler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</w:t>
            </w:r>
            <w:r>
              <w:t xml:space="preserve"> </w:t>
            </w:r>
            <w:r>
              <w:t xml:space="preserve">Sertifikalar ve kriptografik yöntemler</w:t>
            </w:r>
          </w:p>
        </w:tc>
        <w:tc>
          <w:tcPr/>
          <w:p>
            <w:pPr>
              <w:pStyle w:val="Compact"/>
            </w:pPr>
            <w:r>
              <w:t xml:space="preserve">Algoritma ve anahtar uzunluğu seçimi; kipler ve dolgu; HMAC, şifrele-sonra-MAC, yeniden oynatma; RSA-OAEP/PSS, Ed25519/X25519; dijital imza; Diffie–Hellman ve araya girme; PKI, X.509, zincir; CRL/OCSP; PKCS#11/SoftHSM; kuantum sonrası</w:t>
            </w:r>
          </w:p>
        </w:tc>
        <w:tc>
          <w:tcPr/>
          <w:p>
            <w:pPr>
              <w:pStyle w:val="Compact"/>
            </w:pPr>
            <w:r>
              <w:t xml:space="preserve">Güvenlik düzeyi tablosu; doğru kip ve dolgu; imza doğrulamasının tuzakları; zincir doğrulamanın dört sorusu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</w:t>
            </w:r>
            <w:r>
              <w:t xml:space="preserve"> </w:t>
            </w:r>
            <w:r>
              <w:t xml:space="preserve">Whitebox kriptografi</w:t>
            </w:r>
          </w:p>
        </w:tc>
        <w:tc>
          <w:tcPr/>
          <w:p>
            <w:pPr>
              <w:pStyle w:val="Compact"/>
            </w:pPr>
            <w:r>
              <w:t xml:space="preserve">Beyaz kutu ve kara kutu saldırgan modelleri; tablo tabanlı gerçekleştirim; anahtar koruması; bilinen saldırı aileleri ve karşı önlemler; yazılımsal güvenlik modülleri</w:t>
            </w:r>
          </w:p>
        </w:tc>
        <w:tc>
          <w:tcPr/>
          <w:p>
            <w:pPr>
              <w:pStyle w:val="Compact"/>
            </w:pPr>
            <w:r>
              <w:t xml:space="preserve">Saldırgan modelleri; whitebox’ın katmanlı savunmadaki yeri ve sınırları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</w:t>
            </w:r>
            <w:r>
              <w:t xml:space="preserve"> </w:t>
            </w:r>
            <w:r>
              <w:t xml:space="preserve">Sertifikasyon ve sızma testi planlaması</w:t>
            </w:r>
          </w:p>
        </w:tc>
        <w:tc>
          <w:tcPr/>
          <w:p>
            <w:pPr>
              <w:pStyle w:val="Compact"/>
            </w:pPr>
            <w:r>
              <w:t xml:space="preserve">Bağımsız değerlendirmenin 13 adımı; standartların test beklentileri; zafiyet değerlendirmesi; sızma testi planı ve raporlama</w:t>
            </w:r>
          </w:p>
        </w:tc>
        <w:tc>
          <w:tcPr/>
          <w:p>
            <w:pPr>
              <w:pStyle w:val="Compact"/>
            </w:pPr>
            <w:r>
              <w:t xml:space="preserve">Değerlendirme hedefi, gereksinim şablonu, bulgu–aksiyon, etki analizi, delta değerlendirme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</w:t>
            </w:r>
            <w:r>
              <w:t xml:space="preserve"> </w:t>
            </w:r>
            <w:r>
              <w:t xml:space="preserve">Güvenlik gereksinimleri</w:t>
            </w:r>
          </w:p>
        </w:tc>
        <w:tc>
          <w:tcPr/>
          <w:p>
            <w:pPr>
              <w:pStyle w:val="Compact"/>
            </w:pPr>
            <w:r>
              <w:t xml:space="preserve">İyi gereksinim; izlenebilirlik ve uyum matrisi; devredilen gereksinimler; Ortak Kriterler, EAL; FIPS 140-3; ETSI, GSMA, EMVCo, PCI, MASVS</w:t>
            </w:r>
          </w:p>
        </w:tc>
        <w:tc>
          <w:tcPr/>
          <w:p>
            <w:pPr>
              <w:pStyle w:val="Compact"/>
            </w:pPr>
            <w:r>
              <w:t xml:space="preserve">Gereksinim → önlem → doğrulama → kanıt zinciri; CC ve FIPS kavramları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</w:t>
            </w:r>
            <w:r>
              <w:t xml:space="preserve"> </w:t>
            </w:r>
            <w:r>
              <w:t xml:space="preserve">Tigress ve çeşitlendirme</w:t>
            </w:r>
          </w:p>
        </w:tc>
        <w:tc>
          <w:tcPr/>
          <w:p>
            <w:pPr>
              <w:pStyle w:val="Compact"/>
            </w:pPr>
            <w:r>
              <w:t xml:space="preserve">Kaynaktan kaynağa gizleme; dönüşümleri birleştirme; tohumla çeşitlendirme; dayanıklılığın değerlendirilmesi</w:t>
            </w:r>
          </w:p>
        </w:tc>
        <w:tc>
          <w:tcPr/>
          <w:p>
            <w:pPr>
              <w:pStyle w:val="Compact"/>
            </w:pPr>
            <w:r>
              <w:t xml:space="preserve">Çeşitlendirmenin amacı; maliyet ve etkinlik ölçümü</w:t>
            </w:r>
          </w:p>
        </w:tc>
      </w:tr>
    </w:tbl>
    <w:p>
      <w:pPr>
        <w:pStyle w:val="BodyText"/>
      </w:pPr>
      <w:r>
        <w:drawing>
          <wp:inline>
            <wp:extent cx="5759999" cy="2888214"/>
            <wp:effectExtent b="0" l="0" r="0" t="0"/>
            <wp:docPr descr="Quiz-2 kapsamı" title="" id="21" name="Picture"/>
            <a:graphic>
              <a:graphicData uri="http://schemas.openxmlformats.org/drawingml/2006/picture">
                <pic:pic>
                  <pic:nvPicPr>
                    <pic:cNvPr descr="h16-01-kapsa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3"/>
    <w:bookmarkStart w:id="30" w:name="sık-karıştırılan-kavramlar"/>
    <w:p>
      <w:pPr>
        <w:pStyle w:val="Heading2"/>
      </w:pPr>
      <w:r>
        <w:t xml:space="preserve">2. Sık karıştırılan kavramlar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 A</w:t>
            </w:r>
          </w:p>
        </w:tc>
        <w:tc>
          <w:tcPr/>
          <w:p>
            <w:pPr>
              <w:pStyle w:val="Compact"/>
            </w:pPr>
            <w:r>
              <w:t xml:space="preserve">Kavram B</w:t>
            </w:r>
          </w:p>
        </w:tc>
        <w:tc>
          <w:tcPr/>
          <w:p>
            <w:pPr>
              <w:pStyle w:val="Compact"/>
            </w:pPr>
            <w:r>
              <w:t xml:space="preserve">Fark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CBC</w:t>
            </w:r>
          </w:p>
        </w:tc>
        <w:tc>
          <w:tcPr/>
          <w:p>
            <w:pPr>
              <w:pStyle w:val="Compact"/>
            </w:pPr>
            <w:r>
              <w:t xml:space="preserve">GCM</w:t>
            </w:r>
          </w:p>
        </w:tc>
        <w:tc>
          <w:tcPr/>
          <w:p>
            <w:pPr>
              <w:pStyle w:val="Compact"/>
            </w:pPr>
            <w:r>
              <w:t xml:space="preserve">CBC yalnız gizlilik ve dolgu ister; GCM gizlilik + bütünlük (AEAD), dolgu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İmza</w:t>
            </w:r>
          </w:p>
        </w:tc>
        <w:tc>
          <w:tcPr/>
          <w:p>
            <w:pPr>
              <w:pStyle w:val="Compact"/>
            </w:pPr>
            <w:r>
              <w:t xml:space="preserve">MAC simetrik; imza asimetrik ve inkâr edilemezlik sağlar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Şifrele-sonra-MAC</w:t>
            </w:r>
          </w:p>
        </w:tc>
        <w:tc>
          <w:tcPr/>
          <w:p>
            <w:pPr>
              <w:pStyle w:val="Compact"/>
            </w:pPr>
            <w:r>
              <w:t xml:space="preserve">MAC-sonra-şifrele</w:t>
            </w:r>
          </w:p>
        </w:tc>
        <w:tc>
          <w:tcPr/>
          <w:p>
            <w:pPr>
              <w:pStyle w:val="Compact"/>
            </w:pPr>
            <w:r>
              <w:t xml:space="preserve">İlki doğru sıra; ikincisi dolgu kâhinine açık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RSA-OAEP</w:t>
            </w:r>
          </w:p>
        </w:tc>
        <w:tc>
          <w:tcPr/>
          <w:p>
            <w:pPr>
              <w:pStyle w:val="Compact"/>
            </w:pPr>
            <w:r>
              <w:t xml:space="preserve">RSA-PSS</w:t>
            </w:r>
          </w:p>
        </w:tc>
        <w:tc>
          <w:tcPr/>
          <w:p>
            <w:pPr>
              <w:pStyle w:val="Compact"/>
            </w:pPr>
            <w:r>
              <w:t xml:space="preserve">OAEP şifreleme dolgusu, PSS imza dolgusu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Ed25519 imza, X25519 anahtar anlaşması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Kök CA</w:t>
            </w:r>
          </w:p>
        </w:tc>
        <w:tc>
          <w:tcPr/>
          <w:p>
            <w:pPr>
              <w:pStyle w:val="Compact"/>
            </w:pPr>
            <w:r>
              <w:t xml:space="preserve">Ara CA</w:t>
            </w:r>
          </w:p>
        </w:tc>
        <w:tc>
          <w:tcPr/>
          <w:p>
            <w:pPr>
              <w:pStyle w:val="Compact"/>
            </w:pPr>
            <w:r>
              <w:t xml:space="preserve">Kök çevrimdışı, kendini imzalar; ara CA günlük sertifikaları çıkarır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CN</w:t>
            </w:r>
          </w:p>
        </w:tc>
        <w:tc>
          <w:tcPr/>
          <w:p>
            <w:pPr>
              <w:pStyle w:val="Compact"/>
            </w:pPr>
            <w:r>
              <w:t xml:space="preserve">SAN</w:t>
            </w:r>
          </w:p>
        </w:tc>
        <w:tc>
          <w:tcPr/>
          <w:p>
            <w:pPr>
              <w:pStyle w:val="Compact"/>
            </w:pPr>
            <w:r>
              <w:t xml:space="preserve">Ad denetimi SAN’a yapılır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</w:t>
            </w:r>
          </w:p>
        </w:tc>
        <w:tc>
          <w:tcPr/>
          <w:p>
            <w:pPr>
              <w:pStyle w:val="Compact"/>
            </w:pPr>
            <w:r>
              <w:t xml:space="preserve">OCSP</w:t>
            </w:r>
          </w:p>
        </w:tc>
        <w:tc>
          <w:tcPr/>
          <w:p>
            <w:pPr>
              <w:pStyle w:val="Compact"/>
            </w:pPr>
            <w:r>
              <w:t xml:space="preserve">Periyodik liste / anlık sorgu; zımbalama gizlilik ve hız sağlar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SoftHSM</w:t>
            </w:r>
          </w:p>
        </w:tc>
        <w:tc>
          <w:tcPr/>
          <w:p>
            <w:pPr>
              <w:pStyle w:val="Compact"/>
            </w:pPr>
            <w:r>
              <w:t xml:space="preserve">Donanım koruması / yazılım benzetimi (aynı PKCS#11 arayüzü)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</w:t>
            </w:r>
          </w:p>
        </w:tc>
        <w:tc>
          <w:tcPr/>
          <w:p>
            <w:pPr>
              <w:pStyle w:val="Compact"/>
            </w:pPr>
            <w:r>
              <w:t xml:space="preserve">PP</w:t>
            </w:r>
          </w:p>
        </w:tc>
        <w:tc>
          <w:tcPr/>
          <w:p>
            <w:pPr>
              <w:pStyle w:val="Compact"/>
            </w:pPr>
            <w:r>
              <w:t xml:space="preserve">Ürüne özgü güvenlik hedefi / ürün sınıfı için ortak gereksinim seti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</w:t>
            </w:r>
          </w:p>
        </w:tc>
        <w:tc>
          <w:tcPr/>
          <w:p>
            <w:pPr>
              <w:pStyle w:val="Compact"/>
            </w:pPr>
            <w:r>
              <w:t xml:space="preserve">Saldırı potansiyeli</w:t>
            </w:r>
          </w:p>
        </w:tc>
        <w:tc>
          <w:tcPr/>
          <w:p>
            <w:pPr>
              <w:pStyle w:val="Compact"/>
            </w:pPr>
            <w:r>
              <w:t xml:space="preserve">Değerlendirmenin derinliği / saldırganın gerektirdiği kaynak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FIPS 140-3 düzey 2</w:t>
            </w:r>
          </w:p>
        </w:tc>
        <w:tc>
          <w:tcPr/>
          <w:p>
            <w:pPr>
              <w:pStyle w:val="Compact"/>
            </w:pPr>
            <w:r>
              <w:t xml:space="preserve">Düzey 3</w:t>
            </w:r>
          </w:p>
        </w:tc>
        <w:tc>
          <w:tcPr/>
          <w:p>
            <w:pPr>
              <w:pStyle w:val="Compact"/>
            </w:pPr>
            <w:r>
              <w:t xml:space="preserve">Kurcalama izi / kurcalamaya direnç ve yanıt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Karşılandı</w:t>
            </w:r>
          </w:p>
        </w:tc>
        <w:tc>
          <w:tcPr/>
          <w:p>
            <w:pPr>
              <w:pStyle w:val="Compact"/>
            </w:pPr>
            <w:r>
              <w:t xml:space="preserve">Devredildi</w:t>
            </w:r>
          </w:p>
        </w:tc>
        <w:tc>
          <w:tcPr/>
          <w:p>
            <w:pPr>
              <w:pStyle w:val="Compact"/>
            </w:pPr>
            <w:r>
              <w:t xml:space="preserve">Ürün karşılar / başka bir taraf karşılar (kime, neden, nasıl yazılır)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ISO/IEC 27001</w:t>
            </w:r>
          </w:p>
        </w:tc>
        <w:tc>
          <w:tcPr/>
          <w:p>
            <w:pPr>
              <w:pStyle w:val="Compact"/>
            </w:pPr>
            <w:r>
              <w:t xml:space="preserve">Ortak Kriterler</w:t>
            </w:r>
          </w:p>
        </w:tc>
        <w:tc>
          <w:tcPr/>
          <w:p>
            <w:pPr>
              <w:pStyle w:val="Compact"/>
            </w:pPr>
            <w:r>
              <w:t xml:space="preserve">Kurumu sertifikalar / ürünü sertifikalar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Güvenlik etki analizi</w:t>
            </w:r>
          </w:p>
        </w:tc>
        <w:tc>
          <w:tcPr/>
          <w:p>
            <w:pPr>
              <w:pStyle w:val="Compact"/>
            </w:pPr>
            <w:r>
              <w:t xml:space="preserve">Delta değerlendirme</w:t>
            </w:r>
          </w:p>
        </w:tc>
        <w:tc>
          <w:tcPr/>
          <w:p>
            <w:pPr>
              <w:pStyle w:val="Compact"/>
            </w:pPr>
            <w:r>
              <w:t xml:space="preserve">Değişikliğin güvenlik etkisini belgeler / yalnız değişen kısmı yeniden değerlendirir</w:t>
            </w:r>
          </w:p>
        </w:tc>
      </w:tr>
    </w:tbl>
    <w:p>
      <w:pPr>
        <w:pStyle w:val="BodyText"/>
      </w:pPr>
      <w:r>
        <w:drawing>
          <wp:inline>
            <wp:extent cx="5759999" cy="3638557"/>
            <wp:effectExtent b="0" l="0" r="0" t="0"/>
            <wp:docPr descr="Dönemin tek cümlesi" title="" id="25" name="Picture"/>
            <a:graphic>
              <a:graphicData uri="http://schemas.openxmlformats.org/drawingml/2006/picture">
                <pic:pic>
                  <pic:nvPicPr>
                    <pic:cNvPr descr="h16-04-donem-ozeti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280342"/>
            <wp:effectExtent b="0" l="0" r="0" t="0"/>
            <wp:docPr descr="Final ve başarı notu" title="" id="28" name="Picture"/>
            <a:graphic>
              <a:graphicData uri="http://schemas.openxmlformats.org/drawingml/2006/picture">
                <pic:pic>
                  <pic:nvPicPr>
                    <pic:cNvPr descr="h16-02-final-hesabi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0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0"/>
    <w:bookmarkStart w:id="36" w:name="örnek-sorular"/>
    <w:p>
      <w:pPr>
        <w:pStyle w:val="Heading2"/>
      </w:pPr>
      <w:r>
        <w:t xml:space="preserve">3. Örnek sorular</w:t>
      </w:r>
    </w:p>
    <w:bookmarkStart w:id="34" w:name="kriptografi-ve-pki-10.-hafta"/>
    <w:p>
      <w:pPr>
        <w:pStyle w:val="Heading3"/>
      </w:pPr>
      <w:r>
        <w:t xml:space="preserve">Kriptografi ve PKI (10. hafta)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Cevap kalıbı" title="" id="32" name="Picture"/>
            <a:graphic>
              <a:graphicData uri="http://schemas.openxmlformats.org/drawingml/2006/picture">
                <pic:pic>
                  <pic:nvPicPr>
                    <pic:cNvPr descr="h16-03-cevap-kalib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1. Bir tasarımda RSA-2048 ile AES-256 birlikte kullanılıyor. Güvenlik düzeyi hakkında ne söylersiniz?</w:t>
      </w:r>
    </w:p>
    <w:p>
      <w:pPr>
        <w:pStyle w:val="BlockText"/>
      </w:pPr>
      <w:r>
        <w:t xml:space="preserve">Sistem en zayıf halkası kadar güçlüdür: RSA-2048 yaklaşık 112 bit güvenlik verir; AES-256’nın 256 bitlik düzeyi</w:t>
      </w:r>
      <w:r>
        <w:t xml:space="preserve"> </w:t>
      </w:r>
      <w:r>
        <w:t xml:space="preserve">boşa gider. 128 bit hedefleniyorsa RSA-3072 ya da X25519/Ed25519 kullanılmalıdır.</w:t>
      </w:r>
    </w:p>
    <w:p>
      <w:pPr>
        <w:pStyle w:val="BlockText"/>
      </w:pPr>
      <w:r>
        <w:rPr>
          <w:b/>
          <w:bCs/>
        </w:rPr>
        <w:t xml:space="preserve">2. Bir sunucu çözme hatalarında</w:t>
      </w:r>
      <w:r>
        <w:rPr>
          <w:b/>
          <w:bCs/>
        </w:rPr>
        <w:t xml:space="preserve"> </w:t>
      </w:r>
      <w:r>
        <w:rPr>
          <w:b/>
          <w:bCs/>
        </w:rPr>
        <w:t xml:space="preserve">‘dolgu geçersiz’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‘MAC geçersiz’</w:t>
      </w:r>
      <w:r>
        <w:rPr>
          <w:b/>
          <w:bCs/>
        </w:rPr>
        <w:t xml:space="preserve"> </w:t>
      </w:r>
      <w:r>
        <w:rPr>
          <w:b/>
          <w:bCs/>
        </w:rPr>
        <w:t xml:space="preserve">diye iki farklı ileti döndürüyor. Risk nedir?</w:t>
      </w:r>
    </w:p>
    <w:p>
      <w:pPr>
        <w:pStyle w:val="BlockText"/>
      </w:pPr>
      <w:r>
        <w:t xml:space="preserve">Dolgu kâhini: saldırgan şifreli metni değiştirip iletilere bakarak mesajı çözebilir. Tek ve aynı hata döndürülmeli,</w:t>
      </w:r>
      <w:r>
        <w:t xml:space="preserve"> </w:t>
      </w:r>
      <w:r>
        <w:t xml:space="preserve">tercihen AEAD kullanılmalıdır.</w:t>
      </w:r>
    </w:p>
    <w:p>
      <w:pPr>
        <w:pStyle w:val="BlockText"/>
      </w:pPr>
      <w:r>
        <w:rPr>
          <w:b/>
          <w:bCs/>
        </w:rPr>
        <w:t xml:space="preserve">3. Bu imza doğrulama kodunda ne yanlış?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EVP_DigestVerify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guncellemeyi_kur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Negatif hata değerleri de doğru sayılır; denetim</w:t>
      </w:r>
      <w:r>
        <w:t xml:space="preserve"> </w:t>
      </w:r>
      <w:r>
        <w:rPr>
          <w:rStyle w:val="VerbatimChar"/>
        </w:rPr>
        <w:t xml:space="preserve">r == 1</w:t>
      </w:r>
      <w:r>
        <w:t xml:space="preserve"> </w:t>
      </w:r>
      <w:r>
        <w:t xml:space="preserve">olmalıdır. Ayrıca imzalı içeriğin sürüm numarasını da</w:t>
      </w:r>
      <w:r>
        <w:t xml:space="preserve"> </w:t>
      </w:r>
      <w:r>
        <w:t xml:space="preserve">kapsaması ve eski sürümlerin reddedilmesi gerekir.</w:t>
      </w:r>
    </w:p>
    <w:p>
      <w:pPr>
        <w:pStyle w:val="Block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verify -CAfile kok.crt sunucu.crt</w:t>
      </w:r>
      <w:r>
        <w:rPr>
          <w:b/>
          <w:bCs/>
        </w:rPr>
        <w:t xml:space="preserve"> </w:t>
      </w:r>
      <w:r>
        <w:rPr>
          <w:b/>
          <w:bCs/>
        </w:rPr>
        <w:t xml:space="preserve">hata verirken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-untrusted ara.crt</w:t>
      </w:r>
      <w:r>
        <w:rPr>
          <w:b/>
          <w:bCs/>
        </w:rPr>
        <w:t xml:space="preserve"> </w:t>
      </w:r>
      <w:r>
        <w:rPr>
          <w:b/>
          <w:bCs/>
        </w:rPr>
        <w:t xml:space="preserve">eklenince geçiyor. Neden? Sahada karşılığı nedir?</w:t>
      </w:r>
    </w:p>
    <w:p>
      <w:pPr>
        <w:pStyle w:val="BlockText"/>
      </w:pPr>
      <w:r>
        <w:t xml:space="preserve">Zincir ara sertifika olmadan köke ulaşamaz. Sahada sunucunun ara sertifikayı göndermemesi yaygın bir yapılandırma</w:t>
      </w:r>
      <w:r>
        <w:t xml:space="preserve"> </w:t>
      </w:r>
      <w:r>
        <w:t xml:space="preserve">hatasıdır.</w:t>
      </w:r>
    </w:p>
    <w:p>
      <w:pPr>
        <w:pStyle w:val="BlockText"/>
      </w:pPr>
      <w:r>
        <w:rPr>
          <w:b/>
          <w:bCs/>
        </w:rPr>
        <w:t xml:space="preserve">5. OCSP yanıtlayıcısına ulaşılamadığında sertifikayı kabul etmek hangi örüntüdür? Nasıl azaltılır?</w:t>
      </w:r>
    </w:p>
    <w:p>
      <w:pPr>
        <w:pStyle w:val="BlockText"/>
      </w:pPr>
      <w:r>
        <w:t xml:space="preserve">Fail-open (yumuşak başarısızlık). Zımbalama zorunluluğu (Must-Staple) ya da kısa ömürlü sertifikalar.</w:t>
      </w:r>
    </w:p>
    <w:p>
      <w:pPr>
        <w:pStyle w:val="BlockText"/>
      </w:pPr>
      <w:r>
        <w:rPr>
          <w:b/>
          <w:bCs/>
        </w:rPr>
        <w:t xml:space="preserve">6. Kimliksiz Diffie–Hellman’a karşı araya girme nasıl engellenir?</w:t>
      </w:r>
    </w:p>
    <w:p>
      <w:pPr>
        <w:pStyle w:val="BlockText"/>
      </w:pPr>
      <w:r>
        <w:t xml:space="preserve">DH değerleri kimliği bilinen bir anahtarla imzalanır (TLS 1.3’te</w:t>
      </w:r>
      <w:r>
        <w:t xml:space="preserve"> </w:t>
      </w:r>
      <w:r>
        <w:rPr>
          <w:rStyle w:val="VerbatimChar"/>
        </w:rPr>
        <w:t xml:space="preserve">CertificateVerify</w:t>
      </w:r>
      <w:r>
        <w:t xml:space="preserve">) ve karşı taraf bu kimliği</w:t>
      </w:r>
      <w:r>
        <w:t xml:space="preserve"> </w:t>
      </w:r>
      <w:r>
        <w:t xml:space="preserve">doğrular.</w:t>
      </w:r>
    </w:p>
    <w:bookmarkEnd w:id="34"/>
    <w:bookmarkStart w:id="35" w:name="X2fcaedf5a0ee97972671b4dac266666aad2fb16"/>
    <w:p>
      <w:pPr>
        <w:pStyle w:val="Heading3"/>
      </w:pPr>
      <w:r>
        <w:t xml:space="preserve">Değerlendirme ve gereksinimler (12–13. haftalar)</w:t>
      </w:r>
    </w:p>
    <w:p>
      <w:pPr>
        <w:pStyle w:val="BlockText"/>
      </w:pPr>
      <w:r>
        <w:rPr>
          <w:b/>
          <w:bCs/>
        </w:rPr>
        <w:t xml:space="preserve">7. Değerlendirme hedefinin (TOE)</w:t>
      </w:r>
      <w:r>
        <w:rPr>
          <w:b/>
          <w:bCs/>
        </w:rPr>
        <w:t xml:space="preserve"> </w:t>
      </w:r>
      <w:r>
        <w:rPr>
          <w:b/>
          <w:bCs/>
        </w:rPr>
        <w:t xml:space="preserve">‘benzersiz’</w:t>
      </w:r>
      <w:r>
        <w:rPr>
          <w:b/>
          <w:bCs/>
        </w:rPr>
        <w:t xml:space="preserve"> </w:t>
      </w:r>
      <w:r>
        <w:rPr>
          <w:b/>
          <w:bCs/>
        </w:rPr>
        <w:t xml:space="preserve">tanımlanması neden gerekir?</w:t>
      </w:r>
    </w:p>
    <w:p>
      <w:pPr>
        <w:pStyle w:val="BlockText"/>
      </w:pPr>
      <w:r>
        <w:t xml:space="preserve">Rapor yalnız incelenen ikili dosya için geçerlidir; sürüm numarası tek başına aynı dosyayı garanti etmez. İkili +</w:t>
      </w:r>
      <w:r>
        <w:t xml:space="preserve"> </w:t>
      </w:r>
      <w:r>
        <w:t xml:space="preserve">kaynak + özet değeri birlikte verilir.</w:t>
      </w:r>
    </w:p>
    <w:p>
      <w:pPr>
        <w:pStyle w:val="BlockText"/>
      </w:pPr>
      <w:r>
        <w:rPr>
          <w:b/>
          <w:bCs/>
        </w:rPr>
        <w:t xml:space="preserve">8. Güvenlik etki analizi ile delta değerlendirme arasındaki ilişki nedir?</w:t>
      </w:r>
    </w:p>
    <w:p>
      <w:pPr>
        <w:pStyle w:val="BlockText"/>
      </w:pPr>
      <w:r>
        <w:t xml:space="preserve">Etki analizi değişikliklerin güvenlik etkisini belgeler (değişiklik dizini, etkilenen dosyalar); delta değerlendirme</w:t>
      </w:r>
      <w:r>
        <w:t xml:space="preserve"> </w:t>
      </w:r>
      <w:r>
        <w:t xml:space="preserve">bu belgeye dayanarak yalnız değişen kısmı yeniden değerlendirir.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b/>
          <w:bCs/>
        </w:rPr>
        <w:t xml:space="preserve">‘Uygulama güvenli olmalıdır’</w:t>
      </w:r>
      <w:r>
        <w:rPr>
          <w:b/>
          <w:bCs/>
        </w:rPr>
        <w:t xml:space="preserve"> </w:t>
      </w:r>
      <w:r>
        <w:rPr>
          <w:b/>
          <w:bCs/>
        </w:rPr>
        <w:t xml:space="preserve">neden kötü bir gereksinimdir? Nasıl düzeltilir?</w:t>
      </w:r>
    </w:p>
    <w:p>
      <w:pPr>
        <w:pStyle w:val="BlockText"/>
      </w:pPr>
      <w:r>
        <w:t xml:space="preserve">Doğrulanamaz. Ölçülebilir ve tekil yazılır: ör.</w:t>
      </w:r>
      <w:r>
        <w:t xml:space="preserve"> </w:t>
      </w:r>
      <w:r>
        <w:t xml:space="preserve">“sürüm derlemesi yığın koruyucu, PIE ve tam RELRO ile üretilmelidir”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10. Uyum matrisinde</w:t>
      </w:r>
      <w:r>
        <w:rPr>
          <w:b/>
          <w:bCs/>
        </w:rPr>
        <w:t xml:space="preserve"> </w:t>
      </w:r>
      <w:r>
        <w:rPr>
          <w:b/>
          <w:bCs/>
        </w:rPr>
        <w:t xml:space="preserve">‘karşılandı’</w:t>
      </w:r>
      <w:r>
        <w:rPr>
          <w:b/>
          <w:bCs/>
        </w:rPr>
        <w:t xml:space="preserve"> </w:t>
      </w:r>
      <w:r>
        <w:rPr>
          <w:b/>
          <w:bCs/>
        </w:rPr>
        <w:t xml:space="preserve">yazan ama kanıtı olmayan bir satır değerlendirici için ne anlama gelir?</w:t>
      </w:r>
    </w:p>
    <w:p>
      <w:pPr>
        <w:pStyle w:val="BlockText"/>
      </w:pPr>
      <w:r>
        <w:t xml:space="preserve">Karşılanmamış sayılır; ilk bulgulardan biridir.</w:t>
      </w:r>
    </w:p>
    <w:p>
      <w:pPr>
        <w:pStyle w:val="BlockText"/>
      </w:pPr>
      <w:r>
        <w:rPr>
          <w:b/>
          <w:bCs/>
        </w:rPr>
        <w:t xml:space="preserve">11. Bir kütüphane</w:t>
      </w:r>
      <w:r>
        <w:rPr>
          <w:b/>
          <w:bCs/>
        </w:rPr>
        <w:t xml:space="preserve"> </w:t>
      </w:r>
      <w:r>
        <w:rPr>
          <w:b/>
          <w:bCs/>
        </w:rPr>
        <w:t xml:space="preserve">‘güvenli kurulum ve güncelleme’</w:t>
      </w:r>
      <w:r>
        <w:rPr>
          <w:b/>
          <w:bCs/>
        </w:rPr>
        <w:t xml:space="preserve"> </w:t>
      </w:r>
      <w:r>
        <w:rPr>
          <w:b/>
          <w:bCs/>
        </w:rPr>
        <w:t xml:space="preserve">gereksinimini karşılayamıyorsa ne yapmalıdır?</w:t>
      </w:r>
    </w:p>
    <w:p>
      <w:pPr>
        <w:pStyle w:val="BlockText"/>
      </w:pPr>
      <w:r>
        <w:t xml:space="preserve">Gereksinimi üst uygulamaya devretmeli ve kılavuzda kime, neden devredildiğini ve üst uygulamanın nasıl</w:t>
      </w:r>
      <w:r>
        <w:t xml:space="preserve"> </w:t>
      </w:r>
      <w:r>
        <w:t xml:space="preserve">karşılayacağını yazmalıdır.</w:t>
      </w:r>
    </w:p>
    <w:p>
      <w:pPr>
        <w:pStyle w:val="BlockText"/>
      </w:pPr>
      <w:r>
        <w:rPr>
          <w:b/>
          <w:bCs/>
        </w:rPr>
        <w:t xml:space="preserve">12. EAL4+ bir ürün hakkında</w:t>
      </w:r>
      <w:r>
        <w:rPr>
          <w:b/>
          <w:bCs/>
        </w:rPr>
        <w:t xml:space="preserve"> </w:t>
      </w:r>
      <w:r>
        <w:rPr>
          <w:b/>
          <w:bCs/>
        </w:rPr>
        <w:t xml:space="preserve">‘EAL2 üründen daha güvenlidir’</w:t>
      </w:r>
      <w:r>
        <w:rPr>
          <w:b/>
          <w:bCs/>
        </w:rPr>
        <w:t xml:space="preserve"> </w:t>
      </w:r>
      <w:r>
        <w:rPr>
          <w:b/>
          <w:bCs/>
        </w:rPr>
        <w:t xml:space="preserve">demek doğru mu?</w:t>
      </w:r>
    </w:p>
    <w:p>
      <w:pPr>
        <w:pStyle w:val="BlockText"/>
      </w:pPr>
      <w:r>
        <w:t xml:space="preserve">Hayır. EAL değerlendirmenin derinliğidir; güvenlik, güvenlik hedefindeki tehdit ve amaçlara bağlıdır.</w:t>
      </w:r>
      <w:r>
        <w:t xml:space="preserve"> </w:t>
      </w:r>
      <w:r>
        <w:t xml:space="preserve">“+”</w:t>
      </w:r>
      <w:r>
        <w:t xml:space="preserve"> </w:t>
      </w:r>
      <w:r>
        <w:t xml:space="preserve">ek güvence</w:t>
      </w:r>
      <w:r>
        <w:t xml:space="preserve"> </w:t>
      </w:r>
      <w:r>
        <w:t xml:space="preserve">bileşenlerini gösterir.</w:t>
      </w:r>
    </w:p>
    <w:p>
      <w:pPr>
        <w:pStyle w:val="BlockText"/>
      </w:pPr>
      <w:r>
        <w:rPr>
          <w:b/>
          <w:bCs/>
        </w:rPr>
        <w:t xml:space="preserve">13. FIPS 140-3 doğrulanmış bir kütüphane kullanan bir uygulama FIPS uyumlu mudur?</w:t>
      </w:r>
    </w:p>
    <w:p>
      <w:pPr>
        <w:pStyle w:val="BlockText"/>
      </w:pPr>
      <w:r>
        <w:t xml:space="preserve">Tek başına değil: doğrulama modülü kapsar. Uygulama modülü onaylı kipte ve doğru kullanmalı, anahtarları doğru</w:t>
      </w:r>
      <w:r>
        <w:t xml:space="preserve"> </w:t>
      </w:r>
      <w:r>
        <w:t xml:space="preserve">yönetmelidir.</w:t>
      </w:r>
    </w:p>
    <w:p>
      <w:pPr>
        <w:pStyle w:val="BlockText"/>
      </w:pPr>
      <w:r>
        <w:rPr>
          <w:b/>
          <w:bCs/>
        </w:rPr>
        <w:t xml:space="preserve">14. ETSI EN 303 645’in</w:t>
      </w:r>
      <w:r>
        <w:rPr>
          <w:b/>
          <w:bCs/>
        </w:rPr>
        <w:t xml:space="preserve"> </w:t>
      </w:r>
      <w:r>
        <w:rPr>
          <w:b/>
          <w:bCs/>
        </w:rPr>
        <w:t xml:space="preserve">‘hassas güvenlik parametrelerini güvenle saklamak’</w:t>
      </w:r>
      <w:r>
        <w:rPr>
          <w:b/>
          <w:bCs/>
        </w:rPr>
        <w:t xml:space="preserve"> </w:t>
      </w:r>
      <w:r>
        <w:rPr>
          <w:b/>
          <w:bCs/>
        </w:rPr>
        <w:t xml:space="preserve">başlığı projenizde hangi bölümlere karşılık gelir?</w:t>
      </w:r>
    </w:p>
    <w:p>
      <w:pPr>
        <w:pStyle w:val="BlockText"/>
      </w:pPr>
      <w:r>
        <w:t xml:space="preserve">S5 varlık listesi, S7 veri güvenliği ve kabuk matrisi, S8 anahtar yaşam döngüsü.</w:t>
      </w:r>
    </w:p>
    <w:p>
      <w:pPr>
        <w:pStyle w:val="BlockText"/>
      </w:pPr>
      <w:r>
        <w:rPr>
          <w:b/>
          <w:bCs/>
        </w:rPr>
        <w:t xml:space="preserve">9, 11 ve 14. haftalar</w:t>
      </w:r>
    </w:p>
    <w:p>
      <w:pPr>
        <w:pStyle w:val="BlockText"/>
      </w:pPr>
      <w:r>
        <w:t xml:space="preserve">Bu haftaların örnek soruları, haftaların ders notları yayımlandığında bu bölüme eklenecektir. O zamana kadar ilgili</w:t>
      </w:r>
      <w:r>
        <w:t xml:space="preserve"> </w:t>
      </w:r>
      <w:r>
        <w:t xml:space="preserve">konular için 4. haftanın</w:t>
      </w:r>
      <w:r>
        <w:t xml:space="preserve"> </w:t>
      </w:r>
      <w:r>
        <w:t xml:space="preserve">“Kod gizlemeye giriş”</w:t>
      </w:r>
      <w:r>
        <w:t xml:space="preserve"> </w:t>
      </w:r>
      <w:r>
        <w:t xml:space="preserve">ve</w:t>
      </w:r>
      <w:r>
        <w:t xml:space="preserve"> </w:t>
      </w:r>
      <w:r>
        <w:t xml:space="preserve">“Kontrol akışı düzleştirme”</w:t>
      </w:r>
      <w:r>
        <w:t xml:space="preserve"> </w:t>
      </w:r>
      <w:r>
        <w:t xml:space="preserve">bölümlerini ve 3. haftanın</w:t>
      </w:r>
      <w:r>
        <w:t xml:space="preserve"> </w:t>
      </w:r>
      <w:r>
        <w:t xml:space="preserve">“Whitebox</w:t>
      </w:r>
      <w:r>
        <w:t xml:space="preserve"> </w:t>
      </w:r>
      <w:r>
        <w:t xml:space="preserve">kriptografiye giriş”</w:t>
      </w:r>
      <w:r>
        <w:t xml:space="preserve"> </w:t>
      </w:r>
      <w:r>
        <w:t xml:space="preserve">bölümünü tekrar edin.</w:t>
      </w:r>
    </w:p>
    <w:bookmarkEnd w:id="35"/>
    <w:bookmarkEnd w:id="36"/>
    <w:bookmarkEnd w:id="37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2026-09-23T17:04:55Z</dcterms:created>
  <dcterms:modified xsi:type="dcterms:W3CDTF">2026-09-23T17:04:55Z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16 — Final Dönemi: Quiz-2</vt:lpwstr>
  </property>
</Properties>
</file>