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week-8-midterm-exam-week-quiz-1"/>
    <w:p>
      <w:pPr>
        <w:pStyle w:val="Heading1"/>
      </w:pPr>
      <w:r>
        <w:t xml:space="preserve">Week 8 — Midterm Exam Week: Quiz-1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31.10–08.11.2026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LO.1, 2,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happens this week?</w:t>
      </w:r>
    </w:p>
    <w:p>
      <w:pPr>
        <w:pStyle w:val="BlockText"/>
      </w:pPr>
      <w:r>
        <w:rPr>
          <w:b/>
          <w:bCs/>
        </w:rPr>
        <w:t xml:space="preserve">Quiz-1</w:t>
      </w:r>
      <w:r>
        <w:t xml:space="preserve"> </w:t>
      </w:r>
      <w:r>
        <w:t xml:space="preserve">is held during the midterm exam week. The scope is the topics of</w:t>
      </w:r>
      <w:r>
        <w:t xml:space="preserve"> </w:t>
      </w:r>
      <w:r>
        <w:rPr>
          <w:b/>
          <w:bCs/>
        </w:rPr>
        <w:t xml:space="preserve">weeks 1–6</w:t>
      </w:r>
      <w:r>
        <w:t xml:space="preserve">; Quiz-1 is</w:t>
      </w:r>
      <w:r>
        <w:t xml:space="preserve"> </w:t>
      </w:r>
      <w:r>
        <w:rPr>
          <w:b/>
          <w:bCs/>
        </w:rPr>
        <w:t xml:space="preserve">40% of the</w:t>
      </w:r>
      <w:r>
        <w:rPr>
          <w:b/>
          <w:bCs/>
        </w:rPr>
        <w:t xml:space="preserve"> </w:t>
      </w:r>
      <w:r>
        <w:rPr>
          <w:b/>
          <w:bCs/>
        </w:rPr>
        <w:t xml:space="preserve">midterm grade</w:t>
      </w:r>
      <w:r>
        <w:t xml:space="preserve"> </w:t>
      </w:r>
      <w:r>
        <w:t xml:space="preserve">(</w:t>
      </w:r>
      <w:r>
        <w:rPr>
          <w:rStyle w:val="VerbatimChar"/>
        </w:rPr>
        <w:t xml:space="preserve">Grade_Midterm = 0.6·RAP1 + 0.4·QUIZ1</w:t>
      </w:r>
      <w:r>
        <w:t xml:space="preserve">). The date, time, place, duration and question format are</w:t>
      </w:r>
      <w:r>
        <w:t xml:space="preserve"> </w:t>
      </w:r>
      <w:r>
        <w:t xml:space="preserve">announced in class. This page is a</w:t>
      </w:r>
      <w:r>
        <w:t xml:space="preserve"> </w:t>
      </w:r>
      <w:r>
        <w:rPr>
          <w:b/>
          <w:bCs/>
        </w:rPr>
        <w:t xml:space="preserve">study guide</w:t>
      </w:r>
      <w:r>
        <w:t xml:space="preserve">: a topic map, commonly confused concepts, a one-week study</w:t>
      </w:r>
      <w:r>
        <w:t xml:space="preserve"> </w:t>
      </w:r>
      <w:r>
        <w:t xml:space="preserve">plan, and sample questions with answers.</w:t>
      </w:r>
    </w:p>
    <w:p>
      <w:pPr>
        <w:pStyle w:val="BlockText"/>
      </w:pPr>
      <w:r>
        <w:rPr>
          <w:b/>
          <w:bCs/>
        </w:rPr>
        <w:t xml:space="preserve">The most effective way to study</w:t>
      </w:r>
    </w:p>
    <w:p>
      <w:pPr>
        <w:pStyle w:val="BlockText"/>
      </w:pPr>
      <w:r>
        <w:t xml:space="preserve">Answer each week’s</w:t>
      </w:r>
      <w:r>
        <w:t xml:space="preserve"> </w:t>
      </w:r>
      <w:r>
        <w:rPr>
          <w:b/>
          <w:bCs/>
        </w:rPr>
        <w:t xml:space="preserve">“Self-check”</w:t>
      </w:r>
      <w:r>
        <w:t xml:space="preserve"> </w:t>
      </w:r>
      <w:r>
        <w:t xml:space="preserve">questions at the end of its page without looking at the answers, then check</w:t>
      </w:r>
      <w:r>
        <w:t xml:space="preserve"> </w:t>
      </w:r>
      <w:r>
        <w:t xml:space="preserve">yourself. Run through the demos once more and ask yourself, for every step,</w:t>
      </w:r>
      <w:r>
        <w:t xml:space="preserve"> </w:t>
      </w:r>
      <w:r>
        <w:t xml:space="preserve">“what happened, why did it happen,</w:t>
      </w:r>
      <w:r>
        <w:t xml:space="preserve"> </w:t>
      </w:r>
      <w:r>
        <w:t xml:space="preserve">how was it fixed?”</w:t>
      </w:r>
      <w:r>
        <w:t xml:space="preserve"> </w:t>
      </w:r>
      <w:r>
        <w:t xml:space="preserve">What is measured is not memorization but the</w:t>
      </w:r>
      <w:r>
        <w:t xml:space="preserve"> </w:t>
      </w:r>
      <w:r>
        <w:rPr>
          <w:b/>
          <w:bCs/>
        </w:rPr>
        <w:t xml:space="preserve">why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topic-map-weeks-16"/>
    <w:p>
      <w:pPr>
        <w:pStyle w:val="Heading2"/>
      </w:pPr>
      <w:r>
        <w:t xml:space="preserve">1. Topic map: weeks 1–6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Core concepts</w:t>
            </w:r>
          </w:p>
        </w:tc>
        <w:tc>
          <w:tcPr/>
          <w:p>
            <w:pPr>
              <w:pStyle w:val="Compact"/>
            </w:pPr>
            <w:r>
              <w:t xml:space="preserve">Demos</w:t>
            </w:r>
          </w:p>
        </w:tc>
        <w:tc>
          <w:tcPr/>
          <w:p>
            <w:pPr>
              <w:pStyle w:val="Compact"/>
            </w:pPr>
            <w:r>
              <w:t xml:space="preserve">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  <w:r>
              <w:t xml:space="preserve"> </w:t>
            </w:r>
            <w:r>
              <w:t xml:space="preserve">Introduction and protection plan</w:t>
            </w:r>
          </w:p>
        </w:tc>
        <w:tc>
          <w:tcPr/>
          <w:p>
            <w:pPr>
              <w:pStyle w:val="Compact"/>
            </w:pPr>
            <w:r>
              <w:t xml:space="preserve">CIA; asset–threat–vulnerability–risk; attacker models (white-box); Saltzer–Schroeder principles; the seven protection layers; the 7 steps of the protection plan; interface and asset tables (C/I/I+); STRIDE and DFD; attack tree; risk = likelihood × impact; secure startup; memory management errors; secure erasure; partitioning; version identity</w:t>
            </w:r>
          </w:p>
        </w:tc>
        <w:tc>
          <w:tcPr/>
          <w:p>
            <w:pPr>
              <w:pStyle w:val="Compact"/>
            </w:pPr>
            <w:r>
              <w:t xml:space="preserve">PATH spoofing · password left in memory · privilege escalation via overflow · signed length</w:t>
            </w:r>
          </w:p>
        </w:tc>
        <w:tc>
          <w:tcPr/>
          <w:p>
            <w:pPr>
              <w:pStyle w:val="Compact"/>
            </w:pPr>
            <w:r>
              <w:t xml:space="preserve">1.1–1.9, 3.3–3.5, 12.1, 13.2–13.3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  <w:r>
              <w:t xml:space="preserve"> </w:t>
            </w:r>
            <w:r>
              <w:t xml:space="preserve">Malware and models</w:t>
            </w:r>
          </w:p>
        </w:tc>
        <w:tc>
          <w:tcPr/>
          <w:p>
            <w:pPr>
              <w:pStyle w:val="Compact"/>
            </w:pPr>
            <w:r>
              <w:t xml:space="preserve">Virus types, worms, trojans; outbreak rate; rule-based detection; integrity monitoring; Bell–LaPadula, Biba, Clark–Wilson; Unix and Windows access control; RBAC; CWE, OWASP Top 10, CVE, CVSS; audit logging and log injection</w:t>
            </w:r>
          </w:p>
        </w:tc>
        <w:tc>
          <w:tcPr/>
          <w:p>
            <w:pPr>
              <w:pStyle w:val="Compact"/>
            </w:pPr>
            <w:r>
              <w:t xml:space="preserve">Rule engine · integrity monitoring · outbreak · log injection · tamper-resistant log · ACE · umask · RBAC</w:t>
            </w:r>
          </w:p>
        </w:tc>
        <w:tc>
          <w:tcPr/>
          <w:p>
            <w:pPr>
              <w:pStyle w:val="Compact"/>
            </w:pPr>
            <w:r>
              <w:t xml:space="preserve">2.1–2.2, 13.11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  <w:r>
              <w:t xml:space="preserve"> </w:t>
            </w:r>
            <w:r>
              <w:t xml:space="preserve">Data security</w:t>
            </w:r>
          </w:p>
        </w:tc>
        <w:tc>
          <w:tcPr/>
          <w:p>
            <w:pPr>
              <w:pStyle w:val="Compact"/>
            </w:pPr>
            <w:r>
              <w:t xml:space="preserve">The three states of data; symmetric/asymmetric/hybrid; AEAD; digest/MAC/signature; CSPRNG and modulo bias; nonce, IV, salt; ECB; PBKDF2/Argon2id; HKDF, forward secrecy; key lifecycle, hierarchy, wrapping; TLS 1.3, validation, pinning, fail-open; masking, tokenization, pseudonymization; security shells</w:t>
            </w:r>
          </w:p>
        </w:tc>
        <w:tc>
          <w:tcPr/>
          <w:p>
            <w:pPr>
              <w:pStyle w:val="Compact"/>
            </w:pPr>
            <w:r>
              <w:t xml:space="preserve">AES-GCM · nonce reuse · ECB · round count · HKDF · MITM + pinning · SQLite encryption · mlock · four shells</w:t>
            </w:r>
          </w:p>
        </w:tc>
        <w:tc>
          <w:tcPr/>
          <w:p>
            <w:pPr>
              <w:pStyle w:val="Compact"/>
            </w:pPr>
            <w:r>
              <w:t xml:space="preserve">4.9–4.13, 9.1–9.3, 10.7–10.9, 11.1–11.11, 13.2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  <w:r>
              <w:t xml:space="preserve"> </w:t>
            </w:r>
            <w:r>
              <w:t xml:space="preserve">C/C++ hardening</w:t>
            </w:r>
          </w:p>
        </w:tc>
        <w:tc>
          <w:tcPr/>
          <w:p>
            <w:pPr>
              <w:pStyle w:val="Compact"/>
            </w:pPr>
            <w:r>
              <w:t xml:space="preserve">SEI CERT; input validation principles; format string; UAF; integer overflow and undefined behaviour; error handling, signals; static analysis; sanitizers; fuzzing; canary, FORTIFY, ASLR, NX, RELRO, CFI; introduction to code obfuscation; flattening</w:t>
            </w:r>
          </w:p>
        </w:tc>
        <w:tc>
          <w:tcPr/>
          <w:p>
            <w:pPr>
              <w:pStyle w:val="Compact"/>
            </w:pPr>
            <w:r>
              <w:t xml:space="preserve">Format string · UAF · UBSan · fuzzing · protections · symbols/strings · flattening</w:t>
            </w:r>
          </w:p>
        </w:tc>
        <w:tc>
          <w:tcPr/>
          <w:p>
            <w:pPr>
              <w:pStyle w:val="Compact"/>
            </w:pPr>
            <w:r>
              <w:t xml:space="preserve">3.1–3.5, 12.1, 12.3, 12.8, 12.11, 13.1, 13.4–13.5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  <w:r>
              <w:t xml:space="preserve"> </w:t>
            </w:r>
            <w:r>
              <w:t xml:space="preserve">Java and interpreted languages</w:t>
            </w:r>
          </w:p>
        </w:tc>
        <w:tc>
          <w:tcPr/>
          <w:p>
            <w:pPr>
              <w:pStyle w:val="Compact"/>
            </w:pPr>
            <w:r>
              <w:t xml:space="preserve">What a managed language solves; SEI CERT Java; the common root of injection; SQL, command, path traversal; deserialisation; XXE/XSS; Python/JS, ReDoS; bytecode; ProGuard/R8,</w:t>
            </w:r>
            <w:r>
              <w:t xml:space="preserve"> </w:t>
            </w:r>
            <w:r>
              <w:rPr>
                <w:rStyle w:val="VerbatimChar"/>
              </w:rPr>
              <w:t xml:space="preserve">-keep</w:t>
            </w:r>
            <w:r>
              <w:t xml:space="preserve">; string obfuscation, reflection; SBOM, VEX</w:t>
            </w:r>
          </w:p>
        </w:tc>
        <w:tc>
          <w:tcPr/>
          <w:p>
            <w:pPr>
              <w:pStyle w:val="Compact"/>
            </w:pPr>
            <w:r>
              <w:t xml:space="preserve">SQL · command · path · bytecode · obfuscation · SBOM · deserialisation</w:t>
            </w:r>
          </w:p>
        </w:tc>
        <w:tc>
          <w:tcPr/>
          <w:p>
            <w:pPr>
              <w:pStyle w:val="Compact"/>
            </w:pPr>
            <w:r>
              <w:t xml:space="preserve">3.7, 3.10, 3.11, 1.7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</w:t>
            </w:r>
            <w:r>
              <w:t xml:space="preserve"> </w:t>
            </w:r>
            <w:r>
              <w:t xml:space="preserve">RASP</w:t>
            </w:r>
          </w:p>
        </w:tc>
        <w:tc>
          <w:tcPr/>
          <w:p>
            <w:pPr>
              <w:pStyle w:val="Compact"/>
            </w:pPr>
            <w:r>
              <w:t xml:space="preserve">Detection–defence–deterrence; MATE; RASP architecture; integrity checking; debugger, environment, hook detection; dynamic memory protection; root and signature verification; control-flow counter; response policy, decoy, device binding; limitations</w:t>
            </w:r>
          </w:p>
        </w:tc>
        <w:tc>
          <w:tcPr/>
          <w:p>
            <w:pPr>
              <w:pStyle w:val="Compact"/>
            </w:pPr>
            <w:r>
              <w:t xml:space="preserve">Integrity · anti-debug · VM · LD_PRELOAD · flow counter · signature · root · RASP engine</w:t>
            </w:r>
          </w:p>
        </w:tc>
        <w:tc>
          <w:tcPr/>
          <w:p>
            <w:pPr>
              <w:pStyle w:val="Compact"/>
            </w:pPr>
            <w:r>
              <w:t xml:space="preserve">12.2, 12.12–12.13 (concepts)</w:t>
            </w:r>
          </w:p>
        </w:tc>
      </w:tr>
    </w:tbl>
    <w:p>
      <w:pPr>
        <w:pStyle w:val="BodyText"/>
      </w:pPr>
      <w:r>
        <w:drawing>
          <wp:inline>
            <wp:extent cx="5759999" cy="2888214"/>
            <wp:effectExtent b="0" l="0" r="0" t="0"/>
            <wp:docPr descr="Quiz-1 scope" title="" id="21" name="Picture"/>
            <a:graphic>
              <a:graphicData uri="http://schemas.openxmlformats.org/drawingml/2006/picture">
                <pic:pic>
                  <pic:nvPicPr>
                    <pic:cNvPr descr="h08-01-kapsa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3"/>
    <w:bookmarkStart w:id="27" w:name="frequently-confused-concepts"/>
    <w:p>
      <w:pPr>
        <w:pStyle w:val="Heading2"/>
      </w:pPr>
      <w:r>
        <w:t xml:space="preserve">2. Frequently confused concepts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 A</w:t>
            </w:r>
          </w:p>
        </w:tc>
        <w:tc>
          <w:tcPr/>
          <w:p>
            <w:pPr>
              <w:pStyle w:val="Compact"/>
            </w:pPr>
            <w:r>
              <w:t xml:space="preserve">Concept B</w:t>
            </w:r>
          </w:p>
        </w:tc>
        <w:tc>
          <w:tcPr/>
          <w:p>
            <w:pPr>
              <w:pStyle w:val="Compact"/>
            </w:pPr>
            <w:r>
              <w:t xml:space="preserve">Difference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Bug</w:t>
            </w:r>
          </w:p>
        </w:tc>
        <w:tc>
          <w:tcPr/>
          <w:p>
            <w:pPr>
              <w:pStyle w:val="Compact"/>
            </w:pPr>
            <w:r>
              <w:t xml:space="preserve">Vulnerability</w:t>
            </w:r>
          </w:p>
        </w:tc>
        <w:tc>
          <w:tcPr/>
          <w:p>
            <w:pPr>
              <w:pStyle w:val="Compact"/>
            </w:pPr>
            <w:r>
              <w:t xml:space="preserve">Every vulnerability is a bug; a vulnerability is a bug an attacker can</w:t>
            </w:r>
            <w:r>
              <w:t xml:space="preserve"> </w:t>
            </w:r>
            <w:r>
              <w:rPr>
                <w:b/>
                <w:bCs/>
              </w:rPr>
              <w:t xml:space="preserve">exploit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A threat is a potential source of harm; risk is likelihood × 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Encoding (Base64)</w:t>
            </w:r>
          </w:p>
        </w:tc>
        <w:tc>
          <w:tcPr/>
          <w:p>
            <w:pPr>
              <w:pStyle w:val="Compact"/>
            </w:pPr>
            <w:r>
              <w:t xml:space="preserve">Encryption</w:t>
            </w:r>
          </w:p>
        </w:tc>
        <w:tc>
          <w:tcPr/>
          <w:p>
            <w:pPr>
              <w:pStyle w:val="Compact"/>
            </w:pPr>
            <w:r>
              <w:t xml:space="preserve">Encoding is keyless and reversible; it provides no confidentiality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Digest (SHA-256)</w:t>
            </w:r>
          </w:p>
        </w:tc>
        <w:tc>
          <w:tcPr/>
          <w:p>
            <w:pPr>
              <w:pStyle w:val="Compact"/>
            </w:pPr>
            <w:r>
              <w:t xml:space="preserve">MAC (HMAC)</w:t>
            </w:r>
          </w:p>
        </w:tc>
        <w:tc>
          <w:tcPr/>
          <w:p>
            <w:pPr>
              <w:pStyle w:val="Compact"/>
            </w:pPr>
            <w:r>
              <w:t xml:space="preserve">A digest is keyless — anyone can compute it; a MAC requires a secret key and authenticates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Digital signature</w:t>
            </w:r>
          </w:p>
        </w:tc>
        <w:tc>
          <w:tcPr/>
          <w:p>
            <w:pPr>
              <w:pStyle w:val="Compact"/>
            </w:pPr>
            <w:r>
              <w:t xml:space="preserve">A MAC is symmetric (both sides share the key); a signature is asymmetric (non-repudiation)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Nonce</w:t>
            </w:r>
          </w:p>
        </w:tc>
        <w:tc>
          <w:tcPr/>
          <w:p>
            <w:pPr>
              <w:pStyle w:val="Compact"/>
            </w:pPr>
            <w:r>
              <w:t xml:space="preserve">Salt</w:t>
            </w:r>
          </w:p>
        </w:tc>
        <w:tc>
          <w:tcPr/>
          <w:p>
            <w:pPr>
              <w:pStyle w:val="Compact"/>
            </w:pPr>
            <w:r>
              <w:t xml:space="preserve">A nonce must</w:t>
            </w:r>
            <w:r>
              <w:t xml:space="preserve"> </w:t>
            </w:r>
            <w:r>
              <w:rPr>
                <w:b/>
                <w:bCs/>
              </w:rPr>
              <w:t xml:space="preserve">never repeat</w:t>
            </w:r>
            <w:r>
              <w:t xml:space="preserve"> </w:t>
            </w:r>
            <w:r>
              <w:t xml:space="preserve">with a given key; a salt is unique per password and is not secret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 (CBC)</w:t>
            </w:r>
          </w:p>
        </w:tc>
        <w:tc>
          <w:tcPr/>
          <w:p>
            <w:pPr>
              <w:pStyle w:val="Compact"/>
            </w:pPr>
            <w:r>
              <w:t xml:space="preserve">Nonce (GCM)</w:t>
            </w:r>
          </w:p>
        </w:tc>
        <w:tc>
          <w:tcPr/>
          <w:p>
            <w:pPr>
              <w:pStyle w:val="Compact"/>
            </w:pPr>
            <w:r>
              <w:t xml:space="preserve">A CBC IV must be</w:t>
            </w:r>
            <w:r>
              <w:t xml:space="preserve"> </w:t>
            </w:r>
            <w:r>
              <w:rPr>
                <w:b/>
                <w:bCs/>
              </w:rPr>
              <w:t xml:space="preserve">unpredictable</w:t>
            </w:r>
            <w:r>
              <w:t xml:space="preserve">; a GCM nonce must be</w:t>
            </w:r>
            <w:r>
              <w:t xml:space="preserve"> </w:t>
            </w:r>
            <w:r>
              <w:rPr>
                <w:b/>
                <w:bCs/>
              </w:rPr>
              <w:t xml:space="preserve">unique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PBKDF2 / Argon2id</w:t>
            </w:r>
          </w:p>
        </w:tc>
        <w:tc>
          <w:tcPr/>
          <w:p>
            <w:pPr>
              <w:pStyle w:val="Compact"/>
            </w:pPr>
            <w:r>
              <w:t xml:space="preserve">HKDF</w:t>
            </w:r>
          </w:p>
        </w:tc>
        <w:tc>
          <w:tcPr/>
          <w:p>
            <w:pPr>
              <w:pStyle w:val="Compact"/>
            </w:pPr>
            <w:r>
              <w:t xml:space="preserve">The former is for a low-entropy</w:t>
            </w:r>
            <w:r>
              <w:t xml:space="preserve"> </w:t>
            </w:r>
            <w:r>
              <w:rPr>
                <w:b/>
                <w:bCs/>
              </w:rPr>
              <w:t xml:space="preserve">password</w:t>
            </w:r>
            <w:r>
              <w:t xml:space="preserve"> </w:t>
            </w:r>
            <w:r>
              <w:t xml:space="preserve">(slow); HKDF derives from a high-entropy</w:t>
            </w:r>
            <w:r>
              <w:t xml:space="preserve"> </w:t>
            </w:r>
            <w:r>
              <w:rPr>
                <w:b/>
                <w:bCs/>
              </w:rPr>
              <w:t xml:space="preserve">secret</w:t>
            </w:r>
            <w:r>
              <w:t xml:space="preserve"> </w:t>
            </w:r>
            <w:r>
              <w:t xml:space="preserve">(fast)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 validation</w:t>
            </w:r>
          </w:p>
        </w:tc>
        <w:tc>
          <w:tcPr/>
          <w:p>
            <w:pPr>
              <w:pStyle w:val="Compact"/>
            </w:pPr>
            <w:r>
              <w:t xml:space="preserve">Hostname verification</w:t>
            </w:r>
          </w:p>
        </w:tc>
        <w:tc>
          <w:tcPr/>
          <w:p>
            <w:pPr>
              <w:pStyle w:val="Compact"/>
            </w:pPr>
            <w:r>
              <w:t xml:space="preserve">One asks</w:t>
            </w:r>
            <w:r>
              <w:t xml:space="preserve"> </w:t>
            </w:r>
            <w:r>
              <w:t xml:space="preserve">“did a trusted CA sign this?”</w:t>
            </w:r>
            <w:r>
              <w:t xml:space="preserve">, the other asks</w:t>
            </w:r>
            <w:r>
              <w:t xml:space="preserve"> </w:t>
            </w:r>
            <w:r>
              <w:t xml:space="preserve">“is this certificate</w:t>
            </w:r>
            <w:r>
              <w:t xml:space="preserve"> </w:t>
            </w:r>
            <w:r>
              <w:rPr>
                <w:b/>
                <w:bCs/>
              </w:rPr>
              <w:t xml:space="preserve">for this server</w:t>
            </w:r>
            <w:r>
              <w:t xml:space="preserve">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Pinning</w:t>
            </w:r>
          </w:p>
        </w:tc>
        <w:tc>
          <w:tcPr/>
          <w:p>
            <w:pPr>
              <w:pStyle w:val="Compact"/>
            </w:pPr>
            <w:r>
              <w:t xml:space="preserve">TOFU</w:t>
            </w:r>
          </w:p>
        </w:tc>
        <w:tc>
          <w:tcPr/>
          <w:p>
            <w:pPr>
              <w:pStyle w:val="Compact"/>
            </w:pPr>
            <w:r>
              <w:t xml:space="preserve">With pinning the expected key is embedded in advance; with TOFU it is learned on first connection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Fail-open</w:t>
            </w:r>
          </w:p>
        </w:tc>
        <w:tc>
          <w:tcPr/>
          <w:p>
            <w:pPr>
              <w:pStyle w:val="Compact"/>
            </w:pPr>
            <w: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On error,</w:t>
            </w:r>
            <w:r>
              <w:t xml:space="preserve"> </w:t>
            </w:r>
            <w:r>
              <w:t xml:space="preserve">“pass”</w:t>
            </w:r>
            <w:r>
              <w:t xml:space="preserve"> </w:t>
            </w:r>
            <w:r>
              <w:t xml:space="preserve">vs. </w:t>
            </w:r>
            <w:r>
              <w:t xml:space="preserve">“reject”</w:t>
            </w:r>
            <w:r>
              <w:t xml:space="preserve">; security checks should be fail-closed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Blacklist</w:t>
            </w:r>
          </w:p>
        </w:tc>
        <w:tc>
          <w:tcPr/>
          <w:p>
            <w:pPr>
              <w:pStyle w:val="Compact"/>
            </w:pPr>
            <w:r>
              <w:t xml:space="preserve">Allowlist</w:t>
            </w:r>
          </w:p>
        </w:tc>
        <w:tc>
          <w:tcPr/>
          <w:p>
            <w:pPr>
              <w:pStyle w:val="Compact"/>
            </w:pPr>
            <w:r>
              <w:t xml:space="preserve">Enumerating what is forbidden is always incomplete; defining what is permitted is correct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Canary</w:t>
            </w:r>
          </w:p>
        </w:tc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A canary detects an overflow when the function returns; ASLR randomizes addresses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ASan</w:t>
            </w:r>
          </w:p>
        </w:tc>
        <w:tc>
          <w:tcPr/>
          <w:p>
            <w:pPr>
              <w:pStyle w:val="Compact"/>
            </w:pPr>
            <w:r>
              <w:t xml:space="preserve">UBSan</w:t>
            </w:r>
          </w:p>
        </w:tc>
        <w:tc>
          <w:tcPr/>
          <w:p>
            <w:pPr>
              <w:pStyle w:val="Compact"/>
            </w:pPr>
            <w:r>
              <w:t xml:space="preserve">ASan catches memory access errors; UBSan catches undefined behaviour (overflow, shift)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analysis</w:t>
            </w:r>
          </w:p>
        </w:tc>
        <w:tc>
          <w:tcPr/>
          <w:p>
            <w:pPr>
              <w:pStyle w:val="Compact"/>
            </w:pPr>
            <w:r>
              <w:t xml:space="preserve">Dynamic analysis / fuzzing</w:t>
            </w:r>
          </w:p>
        </w:tc>
        <w:tc>
          <w:tcPr/>
          <w:p>
            <w:pPr>
              <w:pStyle w:val="Compact"/>
            </w:pPr>
            <w:r>
              <w:t xml:space="preserve">Static analysis works without running the code and can produce false positives; dynamic analysis only sees the path that actually runs, but it is conclusive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Unsigned wraparound</w:t>
            </w:r>
          </w:p>
        </w:tc>
        <w:tc>
          <w:tcPr/>
          <w:p>
            <w:pPr>
              <w:pStyle w:val="Compact"/>
            </w:pPr>
            <w:r>
              <w:t xml:space="preserve">Signed overflow</w:t>
            </w:r>
          </w:p>
        </w:tc>
        <w:tc>
          <w:tcPr/>
          <w:p>
            <w:pPr>
              <w:pStyle w:val="Compact"/>
            </w:pPr>
            <w:r>
              <w:t xml:space="preserve">Wraparound is defined behaviour (a logic bug); signed overflow is</w:t>
            </w:r>
            <w:r>
              <w:t xml:space="preserve"> </w:t>
            </w:r>
            <w:r>
              <w:rPr>
                <w:b/>
                <w:bCs/>
              </w:rPr>
              <w:t xml:space="preserve">undefined behaviour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Parameterised query</w:t>
            </w:r>
          </w:p>
        </w:tc>
        <w:tc>
          <w:tcPr/>
          <w:p>
            <w:pPr>
              <w:pStyle w:val="Compact"/>
            </w:pPr>
            <w:r>
              <w:t xml:space="preserve">Escaping</w:t>
            </w:r>
          </w:p>
        </w:tc>
        <w:tc>
          <w:tcPr/>
          <w:p>
            <w:pPr>
              <w:pStyle w:val="Compact"/>
            </w:pPr>
            <w:r>
              <w:t xml:space="preserve">Parameterization is two channels — the real fix; escaping is a secondary line of defence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ProGuard obfuscation</w:t>
            </w:r>
          </w:p>
        </w:tc>
        <w:tc>
          <w:tcPr/>
          <w:p>
            <w:pPr>
              <w:pStyle w:val="Compact"/>
            </w:pPr>
            <w:r>
              <w:t xml:space="preserve">String obfuscation</w:t>
            </w:r>
          </w:p>
        </w:tc>
        <w:tc>
          <w:tcPr/>
          <w:p>
            <w:pPr>
              <w:pStyle w:val="Compact"/>
            </w:pPr>
            <w:r>
              <w:t xml:space="preserve">ProGuard renames</w:t>
            </w:r>
            <w:r>
              <w:t xml:space="preserve"> </w:t>
            </w:r>
            <w:r>
              <w:rPr>
                <w:b/>
                <w:bCs/>
              </w:rPr>
              <w:t xml:space="preserve">identifiers</w:t>
            </w:r>
            <w:r>
              <w:t xml:space="preserve">; it does not hide strings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Obfuscation</w:t>
            </w:r>
          </w:p>
        </w:tc>
        <w:tc>
          <w:tcPr/>
          <w:p>
            <w:pPr>
              <w:pStyle w:val="Compact"/>
            </w:pPr>
            <w:r>
              <w:t xml:space="preserve">Secure coding</w:t>
            </w:r>
          </w:p>
        </w:tc>
        <w:tc>
          <w:tcPr/>
          <w:p>
            <w:pPr>
              <w:pStyle w:val="Compact"/>
            </w:pPr>
            <w:r>
              <w:t xml:space="preserve">Obfuscation delays an attacker; it does not fix the bug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Detection alone is useless; the response must be far from the trigger and implicit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Masking</w:t>
            </w:r>
          </w:p>
        </w:tc>
        <w:tc>
          <w:tcPr/>
          <w:p>
            <w:pPr>
              <w:pStyle w:val="Compact"/>
            </w:pPr>
            <w:r>
              <w:t xml:space="preserve">Tokenization</w:t>
            </w:r>
          </w:p>
        </w:tc>
        <w:tc>
          <w:tcPr/>
          <w:p>
            <w:pPr>
              <w:pStyle w:val="Compact"/>
            </w:pPr>
            <w:r>
              <w:t xml:space="preserve">Masking hides a value on display; tokenization replaces the value with a token bound to the real value held in a vault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Pseudonymization</w:t>
            </w:r>
          </w:p>
        </w:tc>
        <w:tc>
          <w:tcPr/>
          <w:p>
            <w:pPr>
              <w:pStyle w:val="Compact"/>
            </w:pPr>
            <w:r>
              <w:t xml:space="preserve">Anonymization</w:t>
            </w:r>
          </w:p>
        </w:tc>
        <w:tc>
          <w:tcPr/>
          <w:p>
            <w:pPr>
              <w:pStyle w:val="Compact"/>
            </w:pPr>
            <w:r>
              <w:t xml:space="preserve">Pseudonymized data is still personal data; anonymized data cannot be linked back to a person</w:t>
            </w:r>
          </w:p>
        </w:tc>
      </w:tr>
    </w:tbl>
    <w:p>
      <w:pPr>
        <w:pStyle w:val="BodyText"/>
      </w:pPr>
      <w:r>
        <w:drawing>
          <wp:inline>
            <wp:extent cx="5759999" cy="2283460"/>
            <wp:effectExtent b="0" l="0" r="0" t="0"/>
            <wp:docPr descr="Quiz-1 question types" title="" id="25" name="Picture"/>
            <a:graphic>
              <a:graphicData uri="http://schemas.openxmlformats.org/drawingml/2006/picture">
                <pic:pic>
                  <pic:nvPicPr>
                    <pic:cNvPr descr="h08-02-soru-tipleri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7"/>
    <w:bookmarkStart w:id="31" w:name="a-one-week-study-plan"/>
    <w:p>
      <w:pPr>
        <w:pStyle w:val="Heading2"/>
      </w:pPr>
      <w:r>
        <w:t xml:space="preserve">3. A one-week study plan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Day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Week 1</w:t>
            </w:r>
          </w:p>
        </w:tc>
        <w:tc>
          <w:tcPr/>
          <w:p>
            <w:pPr>
              <w:pStyle w:val="Compact"/>
            </w:pPr>
            <w:r>
              <w:t xml:space="preserve">STRIDE, attack tree, protection plan; rerun Demos 1–4; self-check 1–25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Week 2</w:t>
            </w:r>
          </w:p>
        </w:tc>
        <w:tc>
          <w:tcPr/>
          <w:p>
            <w:pPr>
              <w:pStyle w:val="Compact"/>
            </w:pPr>
            <w:r>
              <w:t xml:space="preserve">Models (BLP, Biba, Clark–Wilson), CWE/CVSS; score a CVSS vector yourself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Week 3 (1)</w:t>
            </w:r>
          </w:p>
        </w:tc>
        <w:tc>
          <w:tcPr/>
          <w:p>
            <w:pPr>
              <w:pStyle w:val="Compact"/>
            </w:pPr>
            <w:r>
              <w:t xml:space="preserve">AEAD, nonce, salt, KDF, random numbers; Demos 1–5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Week 3 (2)</w:t>
            </w:r>
          </w:p>
        </w:tc>
        <w:tc>
          <w:tcPr/>
          <w:p>
            <w:pPr>
              <w:pStyle w:val="Compact"/>
            </w:pPr>
            <w:r>
              <w:t xml:space="preserve">Key management, TLS, pinning, masking, shells; Demos 6–9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Week 4</w:t>
            </w:r>
          </w:p>
        </w:tc>
        <w:tc>
          <w:tcPr/>
          <w:p>
            <w:pPr>
              <w:pStyle w:val="Compact"/>
            </w:pPr>
            <w:r>
              <w:t xml:space="preserve">CERT rule pairs, format string, UAF, UB, protection table; Demos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Weeks 5–6</w:t>
            </w:r>
          </w:p>
        </w:tc>
        <w:tc>
          <w:tcPr/>
          <w:p>
            <w:pPr>
              <w:pStyle w:val="Compact"/>
            </w:pPr>
            <w:r>
              <w:t xml:space="preserve">Injection, deserialisation, ProGuard, SBOM; RASP architecture and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Review</w:t>
            </w:r>
          </w:p>
        </w:tc>
        <w:tc>
          <w:tcPr/>
          <w:p>
            <w:pPr>
              <w:pStyle w:val="Compact"/>
            </w:pPr>
            <w:r>
              <w:t xml:space="preserve">Work through the sample questions below against the clock; re-read the relevant section for anything you get wrong</w:t>
            </w:r>
          </w:p>
        </w:tc>
      </w:tr>
    </w:tbl>
    <w:p>
      <w:pPr>
        <w:pStyle w:val="BodyText"/>
      </w:pPr>
      <w:r>
        <w:drawing>
          <wp:inline>
            <wp:extent cx="5759999" cy="2280342"/>
            <wp:effectExtent b="0" l="0" r="0" t="0"/>
            <wp:docPr descr="Midterm grade calculation" title="" id="29" name="Picture"/>
            <a:graphic>
              <a:graphicData uri="http://schemas.openxmlformats.org/drawingml/2006/picture">
                <pic:pic>
                  <pic:nvPicPr>
                    <pic:cNvPr descr="h08-03-vize-hesabi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0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1"/>
    <w:bookmarkStart w:id="38" w:name="sample-questions"/>
    <w:p>
      <w:pPr>
        <w:pStyle w:val="Heading2"/>
      </w:pPr>
      <w:r>
        <w:t xml:space="preserve">4. Sample questions</w:t>
      </w:r>
    </w:p>
    <w:p>
      <w:pPr>
        <w:pStyle w:val="FirstParagraph"/>
      </w:pPr>
      <w:r>
        <w:t xml:space="preserve">The questions below are meant to show the</w:t>
      </w:r>
      <w:r>
        <w:t xml:space="preserve"> </w:t>
      </w:r>
      <w:r>
        <w:rPr>
          <w:b/>
          <w:bCs/>
        </w:rPr>
        <w:t xml:space="preserve">kind of thinking</w:t>
      </w:r>
      <w:r>
        <w:t xml:space="preserve"> </w:t>
      </w:r>
      <w:r>
        <w:t xml:space="preserve">Quiz-1 requires, not its exact format.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Study plan" title="" id="33" name="Picture"/>
            <a:graphic>
              <a:graphicData uri="http://schemas.openxmlformats.org/drawingml/2006/picture">
                <pic:pic>
                  <pic:nvPicPr>
                    <pic:cNvPr descr="h08-04-calisma-plani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5" w:name="concepts"/>
    <w:p>
      <w:pPr>
        <w:pStyle w:val="Heading3"/>
      </w:pPr>
      <w:r>
        <w:t xml:space="preserve">Concepts</w:t>
      </w:r>
    </w:p>
    <w:p>
      <w:pPr>
        <w:pStyle w:val="BlockText"/>
      </w:pPr>
      <w:r>
        <w:rPr>
          <w:b/>
          <w:bCs/>
        </w:rPr>
        <w:t xml:space="preserve">1. In a money transfer, the recipient’s account number being altered in transit breaks which property of the CIA triad? Which two controls prevent this?</w:t>
      </w:r>
    </w:p>
    <w:p>
      <w:pPr>
        <w:pStyle w:val="BlockText"/>
      </w:pPr>
      <w:r>
        <w:t xml:space="preserve">Integrity. A message authentication code (HMAC) or a digital signature; TLS in transit (with chain validation and</w:t>
      </w:r>
      <w:r>
        <w:t xml:space="preserve"> </w:t>
      </w:r>
      <w:r>
        <w:t xml:space="preserve">hostname verification).</w:t>
      </w:r>
    </w:p>
    <w:p>
      <w:pPr>
        <w:pStyle w:val="BlockText"/>
      </w:pPr>
      <w:r>
        <w:rPr>
          <w:b/>
          <w:bCs/>
        </w:rPr>
        <w:t xml:space="preserve">2. Which letters of STRIDE apply to a data flow? Why is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never asked?</w:t>
      </w:r>
    </w:p>
    <w:p>
      <w:pPr>
        <w:pStyle w:val="BlockText"/>
      </w:pPr>
      <w:r>
        <w:t xml:space="preserve">T, I, D. A data flow has no identity of its own; spoofing applies to assets and processes.</w:t>
      </w:r>
    </w:p>
    <w:p>
      <w:pPr>
        <w:pStyle w:val="BlockText"/>
      </w:pPr>
      <w:r>
        <w:rPr>
          <w:b/>
          <w:bCs/>
        </w:rPr>
        <w:t xml:space="preserve">3. What is the role of the IVP in the Clark–Wilson model? What happens if a faulty TP gets certified?</w:t>
      </w:r>
    </w:p>
    <w:p>
      <w:pPr>
        <w:pStyle w:val="BlockText"/>
      </w:pPr>
      <w:r>
        <w:t xml:space="preserve">The IVP independently verifies that the data is consistent. If a faulty TP is certified, the enforcement rules</w:t>
      </w:r>
      <w:r>
        <w:t xml:space="preserve"> </w:t>
      </w:r>
      <w:r>
        <w:t xml:space="preserve">cannot see it (the transaction looks authorized); the IVP is what catches the inconsistency.</w:t>
      </w:r>
    </w:p>
    <w:p>
      <w:pPr>
        <w:pStyle w:val="BlockText"/>
      </w:pPr>
      <w:r>
        <w:rPr>
          <w:b/>
          <w:bCs/>
        </w:rPr>
        <w:t xml:space="preserve">4. Why is nonce reuse catastrophic in GCM?</w:t>
      </w:r>
    </w:p>
    <w:p>
      <w:pPr>
        <w:pStyle w:val="BlockText"/>
      </w:pPr>
      <w:r>
        <w:t xml:space="preserve">The same key and nonce produce the same keystream; XOR-ing two ciphertexts yields the XOR of the two plaintexts,</w:t>
      </w:r>
      <w:r>
        <w:t xml:space="preserve"> </w:t>
      </w:r>
      <w:r>
        <w:t xml:space="preserve">and in addition the authentication key can be recovered and forged tags can be produced.</w:t>
      </w:r>
    </w:p>
    <w:p>
      <w:pPr>
        <w:pStyle w:val="BlockText"/>
      </w:pPr>
      <w:r>
        <w:rPr>
          <w:b/>
          <w:bCs/>
        </w:rPr>
        <w:t xml:space="preserve">5. Why is Argon2id used for passwords instead of SHA-256?</w:t>
      </w:r>
    </w:p>
    <w:p>
      <w:pPr>
        <w:pStyle w:val="BlockText"/>
      </w:pPr>
      <w:r>
        <w:t xml:space="preserve">SHA-256 is fast; an attacker can try billions of guesses per second. Argon2id is deliberately slow and</w:t>
      </w:r>
      <w:r>
        <w:t xml:space="preserve"> </w:t>
      </w:r>
      <w:r>
        <w:t xml:space="preserve">memory-hard; combined with a salt, it makes every guess expensive.</w:t>
      </w:r>
    </w:p>
    <w:p>
      <w:pPr>
        <w:pStyle w:val="BlockText"/>
      </w:pPr>
      <w:r>
        <w:rPr>
          <w:b/>
          <w:bCs/>
        </w:rPr>
        <w:t xml:space="preserve">6. Which attack does a stack canary stop, and which does it not stop?</w:t>
      </w:r>
    </w:p>
    <w:p>
      <w:pPr>
        <w:pStyle w:val="BlockText"/>
      </w:pPr>
      <w:r>
        <w:t xml:space="preserve">It stops a sequential stack overflow that reaches the return address, by terminating the program. It does not</w:t>
      </w:r>
      <w:r>
        <w:t xml:space="preserve"> </w:t>
      </w:r>
      <w:r>
        <w:t xml:space="preserve">stop corruption of variables that sit before the canary, heap overflows, or a leaked canary value.</w:t>
      </w:r>
    </w:p>
    <w:p>
      <w:pPr>
        <w:pStyle w:val="BlockText"/>
      </w:pPr>
      <w:r>
        <w:rPr>
          <w:b/>
          <w:bCs/>
        </w:rPr>
        <w:t xml:space="preserve">7. What are ProGuard’s four phases? Which one hides strings?</w:t>
      </w:r>
    </w:p>
    <w:p>
      <w:pPr>
        <w:pStyle w:val="BlockText"/>
      </w:pPr>
      <w:r>
        <w:t xml:space="preserve">Shrinking, optimisation, obfuscation (renaming), preverification. None of them hide strings.</w:t>
      </w:r>
    </w:p>
    <w:p>
      <w:pPr>
        <w:pStyle w:val="BlockText"/>
      </w:pPr>
      <w:r>
        <w:rPr>
          <w:b/>
          <w:bCs/>
        </w:rPr>
        <w:t xml:space="preserve">8. In RASP, what does</w:t>
      </w:r>
      <w:r>
        <w:rPr>
          <w:b/>
          <w:bCs/>
        </w:rPr>
        <w:t xml:space="preserve"> </w:t>
      </w:r>
      <w:r>
        <w:rPr>
          <w:b/>
          <w:bCs/>
        </w:rPr>
        <w:t xml:space="preserve">‘separating the response from the trigger’</w:t>
      </w:r>
      <w:r>
        <w:rPr>
          <w:b/>
          <w:bCs/>
        </w:rPr>
        <w:t xml:space="preserve"> </w:t>
      </w:r>
      <w:r>
        <w:rPr>
          <w:b/>
          <w:bCs/>
        </w:rPr>
        <w:t xml:space="preserve">mean? Why is it needed?</w:t>
      </w:r>
    </w:p>
    <w:p>
      <w:pPr>
        <w:pStyle w:val="BlockText"/>
      </w:pPr>
      <w:r>
        <w:t xml:space="preserve">Instead of crashing immediately at the moment of detection, delivering the response at a point removed in time</w:t>
      </w:r>
      <w:r>
        <w:t xml:space="preserve"> </w:t>
      </w:r>
      <w:r>
        <w:t xml:space="preserve">and in code (e.g., wiping the secret and returning a decoy). Crashing immediately shows the attacker exactly</w:t>
      </w:r>
      <w:r>
        <w:t xml:space="preserve"> </w:t>
      </w:r>
      <w:r>
        <w:t xml:space="preserve">which check was triggered.</w:t>
      </w:r>
    </w:p>
    <w:bookmarkEnd w:id="35"/>
    <w:bookmarkStart w:id="36" w:name="reading-code-find-the-bug"/>
    <w:p>
      <w:pPr>
        <w:pStyle w:val="Heading3"/>
      </w:pPr>
      <w:r>
        <w:t xml:space="preserve">Reading code: find the bug</w:t>
      </w:r>
    </w:p>
    <w:p>
      <w:pPr>
        <w:pStyle w:val="BlockText"/>
      </w:pPr>
      <w:r>
        <w:rPr>
          <w:b/>
          <w:bCs/>
        </w:rPr>
        <w:t xml:space="preserve">9. What is the bug in this code, and which CERT rule does it violate?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kaydet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"kullanici=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syslog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LOG_INFO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Two bugs:</w:t>
      </w:r>
      <w:r>
        <w:t xml:space="preserve"> </w:t>
      </w:r>
      <w:r>
        <w:rPr>
          <w:rStyle w:val="VerbatimChar"/>
        </w:rPr>
        <w:t xml:space="preserve">sprintf</w:t>
      </w:r>
      <w:r>
        <w:t xml:space="preserve"> </w:t>
      </w:r>
      <w:r>
        <w:t xml:space="preserve">writes without a bound (overflow, STR31-C;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should be used instead), and</w:t>
      </w:r>
      <w:r>
        <w:t xml:space="preserve"> </w:t>
      </w:r>
      <w:r>
        <w:rPr>
          <w:rStyle w:val="VerbatimChar"/>
        </w:rPr>
        <w:t xml:space="preserve">syslog</w:t>
      </w:r>
      <w:r>
        <w:t xml:space="preserve"> </w:t>
      </w:r>
      <w:r>
        <w:t xml:space="preserve">is given a variable string as its format argument (format string vulnerability, FIO30-C;</w:t>
      </w:r>
      <w:r>
        <w:t xml:space="preserve"> </w:t>
      </w:r>
      <w:r>
        <w:rPr>
          <w:rStyle w:val="VerbatimChar"/>
        </w:rPr>
        <w:t xml:space="preserve">syslog(LOG_INFO, "%s", tampon)</w:t>
      </w:r>
      <w:r>
        <w:t xml:space="preserve"> </w:t>
      </w:r>
      <w:r>
        <w:t xml:space="preserve">should be used instead).</w:t>
      </w:r>
    </w:p>
    <w:p>
      <w:pPr>
        <w:pStyle w:val="BlockText"/>
      </w:pPr>
      <w:r>
        <w:rPr>
          <w:b/>
          <w:bCs/>
        </w:rPr>
        <w:t xml:space="preserve">10. What is wrong with this code?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oku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dogrula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</w:p>
    <w:p>
      <w:pPr>
        <w:pStyle w:val="BlockText"/>
      </w:pPr>
      <w:r>
        <w:t xml:space="preserve">Because the array is never read after the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, the compiler is allowed to remove that line entirely</w:t>
      </w:r>
      <w:r>
        <w:t xml:space="preserve"> </w:t>
      </w:r>
      <w:r>
        <w:t xml:space="preserve">(MSC06-C, CWE-14).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 </w:t>
      </w:r>
      <w:r>
        <w:t xml:space="preserve">should be used instead.</w:t>
      </w:r>
    </w:p>
    <w:p>
      <w:pPr>
        <w:pStyle w:val="BlockText"/>
      </w:pPr>
      <w:r>
        <w:rPr>
          <w:b/>
          <w:bCs/>
        </w:rPr>
        <w:t xml:space="preserve">11. Why is this code unsafe, and how would you fix it?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notlar WHERE ogrenci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"'"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);</w:t>
      </w:r>
    </w:p>
    <w:p>
      <w:pPr>
        <w:pStyle w:val="BlockText"/>
      </w:pPr>
      <w:r>
        <w:t xml:space="preserve">SQL injection (CWE-89, IDS00-J). A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with a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parameter should be used.</w:t>
      </w:r>
    </w:p>
    <w:p>
      <w:pPr>
        <w:pStyle w:val="BlockText"/>
      </w:pPr>
      <w:r>
        <w:rPr>
          <w:b/>
          <w:bCs/>
        </w:rPr>
        <w:t xml:space="preserve">12. Where is the bug in this decryption code?</w:t>
      </w:r>
    </w:p>
    <w:p>
      <w:pPr>
        <w:pStyle w:val="SourceCode"/>
      </w:pP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kullan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);</w:t>
      </w:r>
    </w:p>
    <w:p>
      <w:pPr>
        <w:pStyle w:val="BlockText"/>
      </w:pPr>
      <w:r>
        <w:t xml:space="preserve">The plaintext is used before the tag is verified (before</w:t>
      </w:r>
      <w:r>
        <w:t xml:space="preserve"> </w:t>
      </w:r>
      <w:r>
        <w:rPr>
          <w:rStyle w:val="VerbatimChar"/>
        </w:rPr>
        <w:t xml:space="preserve">Final</w:t>
      </w:r>
      <w:r>
        <w:t xml:space="preserve">), and the return value of</w:t>
      </w:r>
      <w:r>
        <w:t xml:space="preserve"> </w:t>
      </w:r>
      <w:r>
        <w:rPr>
          <w:rStyle w:val="VerbatimChar"/>
        </w:rPr>
        <w:t xml:space="preserve">Final</w:t>
      </w:r>
      <w:r>
        <w:t xml:space="preserve"> </w:t>
      </w:r>
      <w:r>
        <w:t xml:space="preserve">is never</w:t>
      </w:r>
      <w:r>
        <w:t xml:space="preserve"> </w:t>
      </w:r>
      <w:r>
        <w:t xml:space="preserve">checked. The tag should be checked first, the plaintext used only if</w:t>
      </w:r>
      <w:r>
        <w:t xml:space="preserve"> </w:t>
      </w:r>
      <w:r>
        <w:rPr>
          <w:rStyle w:val="VerbatimChar"/>
        </w:rPr>
        <w:t xml:space="preserve">Final</w:t>
      </w:r>
      <w:r>
        <w:t xml:space="preserve"> </w:t>
      </w:r>
      <w:r>
        <w:t xml:space="preserve">succeeds, and wiped if it fails.</w:t>
      </w:r>
    </w:p>
    <w:p>
      <w:pPr>
        <w:pStyle w:val="BlockText"/>
      </w:pPr>
      <w:r>
        <w:rPr>
          <w:b/>
          <w:bCs/>
        </w:rPr>
        <w:t xml:space="preserve">13. Why is this path check insufficient?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".."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));</w:t>
      </w:r>
    </w:p>
    <w:p>
      <w:pPr>
        <w:pStyle w:val="BlockText"/>
      </w:pPr>
      <w:r>
        <w:t xml:space="preserve">A raw-string check can be bypassed (absolute paths, symbolic links, encoded forms). The path must first be</w:t>
      </w:r>
      <w:r>
        <w:t xml:space="preserve"> </w:t>
      </w:r>
      <w:r>
        <w:t xml:space="preserve">canonicalized (</w:t>
      </w:r>
      <w:r>
        <w:rPr>
          <w:rStyle w:val="VerbatimChar"/>
        </w:rPr>
        <w:t xml:space="preserve">normalize</w:t>
      </w:r>
      <w:r>
        <w:t xml:space="preserve">,</w:t>
      </w:r>
      <w:r>
        <w:t xml:space="preserve"> </w:t>
      </w:r>
      <w:r>
        <w:rPr>
          <w:rStyle w:val="VerbatimChar"/>
        </w:rPr>
        <w:t xml:space="preserve">toRealPath</w:t>
      </w:r>
      <w:r>
        <w:t xml:space="preserve">) and then checked to be inside the root (FIO16-J).</w:t>
      </w:r>
    </w:p>
    <w:p>
      <w:pPr>
        <w:pStyle w:val="BlockText"/>
      </w:pPr>
      <w:r>
        <w:rPr>
          <w:b/>
          <w:bCs/>
        </w:rPr>
        <w:t xml:space="preserve">14. What is the problem with this pinning code?</w:t>
      </w:r>
    </w:p>
    <w:p>
      <w:pPr>
        <w:pStyle w:val="SourceCode"/>
      </w:pP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pinDenetle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zincir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printStackTrace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Fail-open: the keystore error is swallowed and the connection is accepted. Uncertainty should lead to rejection</w:t>
      </w:r>
      <w:r>
        <w:t xml:space="preserve"> </w:t>
      </w:r>
      <w:r>
        <w:t xml:space="preserve">(the exception should be rethrown as a</w:t>
      </w:r>
      <w:r>
        <w:t xml:space="preserve"> </w:t>
      </w:r>
      <w:r>
        <w:rPr>
          <w:rStyle w:val="VerbatimChar"/>
        </w:rPr>
        <w:t xml:space="preserve">CertificateException</w:t>
      </w:r>
      <w:r>
        <w:t xml:space="preserve">).</w:t>
      </w:r>
    </w:p>
    <w:bookmarkEnd w:id="36"/>
    <w:bookmarkStart w:id="37" w:name="scenario"/>
    <w:p>
      <w:pPr>
        <w:pStyle w:val="Heading3"/>
      </w:pPr>
      <w:r>
        <w:t xml:space="preserve">Scenario</w:t>
      </w:r>
    </w:p>
    <w:p>
      <w:pPr>
        <w:pStyle w:val="BlockText"/>
      </w:pPr>
      <w:r>
        <w:rPr>
          <w:b/>
          <w:bCs/>
        </w:rPr>
        <w:t xml:space="preserve">15. A mobile application uses the same embedded AES key on every user’s device. What risks does this create, and what do you recommend?</w:t>
      </w:r>
    </w:p>
    <w:p>
      <w:pPr>
        <w:pStyle w:val="BlockText"/>
      </w:pPr>
      <w:r>
        <w:t xml:space="preserve">A key extracted from a single copy affects every user (a violation of</w:t>
      </w:r>
      <w:r>
        <w:t xml:space="preserve"> </w:t>
      </w:r>
      <w:r>
        <w:t xml:space="preserve">“compromising one instance must not affect</w:t>
      </w:r>
      <w:r>
        <w:t xml:space="preserve"> </w:t>
      </w:r>
      <w:r>
        <w:t xml:space="preserve">the others”</w:t>
      </w:r>
      <w:r>
        <w:t xml:space="preserve">); it can be read out of the bytecode/binary. Recommendation: a key generated or derived on the</w:t>
      </w:r>
      <w:r>
        <w:t xml:space="preserve"> </w:t>
      </w:r>
      <w:r>
        <w:t xml:space="preserve">server per user/device, device and version binding, wrapping, white-box if necessary; the key is never embedded</w:t>
      </w:r>
      <w:r>
        <w:t xml:space="preserve"> </w:t>
      </w:r>
      <w:r>
        <w:t xml:space="preserve">in the code.</w:t>
      </w:r>
    </w:p>
    <w:p>
      <w:pPr>
        <w:pStyle w:val="BlockText"/>
      </w:pPr>
      <w:r>
        <w:rPr>
          <w:b/>
          <w:bCs/>
        </w:rPr>
        <w:t xml:space="preserve">16. The assessor notices that your application’s debug build was shipped. What findings would be written up?</w:t>
      </w:r>
    </w:p>
    <w:p>
      <w:pPr>
        <w:pStyle w:val="BlockText"/>
      </w:pPr>
      <w:r>
        <w:t xml:space="preserve">No obfuscation, symbols and log strings exposed, the</w:t>
      </w:r>
      <w:r>
        <w:t xml:space="preserve"> </w:t>
      </w:r>
      <w:r>
        <w:rPr>
          <w:rStyle w:val="VerbatimChar"/>
        </w:rPr>
        <w:t xml:space="preserve">debuggable</w:t>
      </w:r>
      <w:r>
        <w:t xml:space="preserve"> </w:t>
      </w:r>
      <w:r>
        <w:t xml:space="preserve">flag enabled (a debugger can attach), possibly</w:t>
      </w:r>
      <w:r>
        <w:t xml:space="preserve"> </w:t>
      </w:r>
      <w:r>
        <w:t xml:space="preserve">leftover sanitizer or debug code. The release build’s protections (checksec) and the removal of logging must be</w:t>
      </w:r>
      <w:r>
        <w:t xml:space="preserve"> </w:t>
      </w:r>
      <w:r>
        <w:t xml:space="preserve">verified.</w:t>
      </w:r>
    </w:p>
    <w:p>
      <w:pPr>
        <w:pStyle w:val="BlockText"/>
      </w:pPr>
      <w:r>
        <w:rPr>
          <w:b/>
          <w:bCs/>
        </w:rPr>
        <w:t xml:space="preserve">17. In a payment application, a user says</w:t>
      </w:r>
      <w:r>
        <w:rPr>
          <w:b/>
          <w:bCs/>
        </w:rPr>
        <w:t xml:space="preserve"> </w:t>
      </w:r>
      <w:r>
        <w:rPr>
          <w:b/>
          <w:bCs/>
        </w:rPr>
        <w:t xml:space="preserve">‘I did not make this transaction.’</w:t>
      </w:r>
      <w:r>
        <w:rPr>
          <w:b/>
          <w:bCs/>
        </w:rPr>
        <w:t xml:space="preserve"> </w:t>
      </w:r>
      <w:r>
        <w:rPr>
          <w:b/>
          <w:bCs/>
        </w:rPr>
        <w:t xml:space="preserve">Which STRIDE letter is this? Which controls provide evidence?</w:t>
      </w:r>
    </w:p>
    <w:p>
      <w:pPr>
        <w:pStyle w:val="BlockText"/>
      </w:pPr>
      <w:r>
        <w:t xml:space="preserve">R (repudiation). A tamper-resistant audit log (HMAC chain, key evolution), signed transaction records, records</w:t>
      </w:r>
      <w:r>
        <w:t xml:space="preserve"> </w:t>
      </w:r>
      <w:r>
        <w:t xml:space="preserve">sent to the server immediately, timestamps.</w:t>
      </w:r>
    </w:p>
    <w:p>
      <w:pPr>
        <w:pStyle w:val="BlockText"/>
      </w:pPr>
      <w:r>
        <w:rPr>
          <w:b/>
          <w:bCs/>
        </w:rPr>
        <w:t xml:space="preserve">18. You are writing an archive-extraction function. What bugs do you guard against, and how?</w:t>
      </w:r>
    </w:p>
    <w:p>
      <w:pPr>
        <w:pStyle w:val="BlockText"/>
      </w:pPr>
      <w:r>
        <w:t xml:space="preserve">Zip Slip (</w:t>
      </w:r>
      <w:r>
        <w:rPr>
          <w:rStyle w:val="VerbatimChar"/>
        </w:rPr>
        <w:t xml:space="preserve">../</w:t>
      </w:r>
      <w:r>
        <w:t xml:space="preserve"> </w:t>
      </w:r>
      <w:r>
        <w:t xml:space="preserve">in file names): canonicalize every entry’s target path and check that it stays inside the root;</w:t>
      </w:r>
      <w:r>
        <w:t xml:space="preserve"> </w:t>
      </w:r>
      <w:r>
        <w:t xml:space="preserve">size and file-count limits (decompression bombs); reject symbolic links; validate length fields, and fuzz the</w:t>
      </w:r>
      <w:r>
        <w:t xml:space="preserve"> </w:t>
      </w:r>
      <w:r>
        <w:t xml:space="preserve">function.</w:t>
      </w:r>
    </w:p>
    <w:p>
      <w:pPr>
        <w:pStyle w:val="BlockText"/>
      </w:pPr>
      <w:r>
        <w:rPr>
          <w:b/>
          <w:bCs/>
        </w:rPr>
        <w:t xml:space="preserve">19. What was organisations’ biggest problem during Log4Shell? Which practice would have prevented it?</w:t>
      </w:r>
    </w:p>
    <w:p>
      <w:pPr>
        <w:pStyle w:val="BlockText"/>
      </w:pPr>
      <w:r>
        <w:t xml:space="preserve">Not knowing which version of Log4j (including copies embedded inside other libraries) was present in which</w:t>
      </w:r>
      <w:r>
        <w:t xml:space="preserve"> </w:t>
      </w:r>
      <w:r>
        <w:t xml:space="preserve">system. An SBOM (CycloneDX/SPDX) produced on every release and continuously monitored, plus an SCA tool.</w:t>
      </w:r>
    </w:p>
    <w:p>
      <w:pPr>
        <w:pStyle w:val="BlockText"/>
      </w:pPr>
      <w:r>
        <w:rPr>
          <w:b/>
          <w:bCs/>
        </w:rPr>
        <w:t xml:space="preserve">20. Why is evaluating RASP checks with a single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weak? What is a stronger design?</w:t>
      </w:r>
    </w:p>
    <w:p>
      <w:pPr>
        <w:pStyle w:val="BlockText"/>
      </w:pPr>
      <w:r>
        <w:t xml:space="preserve">An attacker who flips the one comparison, or who makes the check function always return</w:t>
      </w:r>
      <w:r>
        <w:t xml:space="preserve"> </w:t>
      </w:r>
      <w:r>
        <w:t xml:space="preserve">“clean,”</w:t>
      </w:r>
      <w:r>
        <w:t xml:space="preserve"> </w:t>
      </w:r>
      <w:r>
        <w:t xml:space="preserve">bypasses all of</w:t>
      </w:r>
      <w:r>
        <w:t xml:space="preserve"> </w:t>
      </w:r>
      <w:r>
        <w:t xml:space="preserve">it. Check results should feed into the data used by a later computation (e.g., key derivation), be carried as</w:t>
      </w:r>
      <w:r>
        <w:t xml:space="preserve"> </w:t>
      </w:r>
      <w:r>
        <w:t xml:space="preserve">opaque values, checks should be spread across multiple points and cross-check each other, and the response</w:t>
      </w:r>
      <w:r>
        <w:t xml:space="preserve"> </w:t>
      </w:r>
      <w:r>
        <w:t xml:space="preserve">should be delayed.</w:t>
      </w:r>
    </w:p>
    <w:bookmarkEnd w:id="37"/>
    <w:bookmarkEnd w:id="38"/>
    <w:bookmarkEnd w:id="3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2026-09-23T17:04:34Z</dcterms:created>
  <dcterms:modified xsi:type="dcterms:W3CDTF">2026-09-23T17:04:34Z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8 — Midterm Exam Week: Quiz-1</vt:lpwstr>
  </property>
</Properties>
</file>