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rId27.png" ContentType="image/png"/>
  <Override PartName="/word/media/rId31.png" ContentType="image/png"/>
  <Override PartName="/word/media/rId24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week-16-final-exam-period-quiz-2"/>
    <w:p>
      <w:pPr>
        <w:pStyle w:val="Heading1"/>
      </w:pPr>
      <w:r>
        <w:t xml:space="preserve">Week 16 — Final Exam Period: Quiz-2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04–17.01.2027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LO.2–7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What happens this week?</w:t>
      </w:r>
    </w:p>
    <w:p>
      <w:pPr>
        <w:pStyle w:val="BlockText"/>
      </w:pPr>
      <w:r>
        <w:rPr>
          <w:b/>
          <w:bCs/>
        </w:rPr>
        <w:t xml:space="preserve">Quiz-2</w:t>
      </w:r>
      <w:r>
        <w:t xml:space="preserve"> </w:t>
      </w:r>
      <w:r>
        <w:t xml:space="preserve">is held in the final exam period. The scope is the topics of</w:t>
      </w:r>
      <w:r>
        <w:t xml:space="preserve"> </w:t>
      </w:r>
      <w:r>
        <w:rPr>
          <w:b/>
          <w:bCs/>
        </w:rPr>
        <w:t xml:space="preserve">weeks 9–14</w:t>
      </w:r>
      <w:r>
        <w:t xml:space="preserve">; Quiz-2 is</w:t>
      </w:r>
      <w:r>
        <w:t xml:space="preserve"> </w:t>
      </w:r>
      <w:r>
        <w:rPr>
          <w:b/>
          <w:bCs/>
        </w:rPr>
        <w:t xml:space="preserve">30% of the</w:t>
      </w:r>
      <w:r>
        <w:rPr>
          <w:b/>
          <w:bCs/>
        </w:rPr>
        <w:t xml:space="preserve"> </w:t>
      </w:r>
      <w:r>
        <w:rPr>
          <w:b/>
          <w:bCs/>
        </w:rPr>
        <w:t xml:space="preserve">final grade</w:t>
      </w:r>
      <w:r>
        <w:t xml:space="preserve"> </w:t>
      </w:r>
      <w:r>
        <w:t xml:space="preserve">(</w:t>
      </w:r>
      <w:r>
        <w:rPr>
          <w:rStyle w:val="VerbatimChar"/>
        </w:rPr>
        <w:t xml:space="preserve">Grade_Final = 0.7·RAP2 + 0.3·QUIZ2</w:t>
      </w:r>
      <w:r>
        <w:t xml:space="preserve">). The date, time, place, duration and question format are</w:t>
      </w:r>
      <w:r>
        <w:t xml:space="preserve"> </w:t>
      </w:r>
      <w:r>
        <w:t xml:space="preserve">announced in class. This page is a</w:t>
      </w:r>
      <w:r>
        <w:t xml:space="preserve"> </w:t>
      </w:r>
      <w:r>
        <w:rPr>
          <w:b/>
          <w:bCs/>
        </w:rPr>
        <w:t xml:space="preserve">study guide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The most effective way to study</w:t>
      </w:r>
    </w:p>
    <w:p>
      <w:pPr>
        <w:pStyle w:val="BlockText"/>
      </w:pPr>
      <w:r>
        <w:t xml:space="preserve">Answer each week’s</w:t>
      </w:r>
      <w:r>
        <w:t xml:space="preserve"> </w:t>
      </w:r>
      <w:r>
        <w:t xml:space="preserve">“Self-check”</w:t>
      </w:r>
      <w:r>
        <w:t xml:space="preserve"> </w:t>
      </w:r>
      <w:r>
        <w:t xml:space="preserve">questions without looking at the answers; redo Week 10’s OpenSSL steps and Week</w:t>
      </w:r>
      <w:r>
        <w:t xml:space="preserve"> </w:t>
      </w:r>
      <w:r>
        <w:t xml:space="preserve">13’s compliance-matrix exercise yourself once more. What is measured is not memorization but the</w:t>
      </w:r>
      <w:r>
        <w:t xml:space="preserve"> </w:t>
      </w:r>
      <w:r>
        <w:rPr>
          <w:b/>
          <w:bCs/>
        </w:rPr>
        <w:t xml:space="preserve">why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topic-map-weeks-914"/>
    <w:p>
      <w:pPr>
        <w:pStyle w:val="Heading2"/>
      </w:pPr>
      <w:r>
        <w:t xml:space="preserve">1. Topic map: weeks 9–14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Topics (syllabus)</w:t>
            </w:r>
          </w:p>
        </w:tc>
        <w:tc>
          <w:tcPr/>
          <w:p>
            <w:pPr>
              <w:pStyle w:val="Compact"/>
            </w:pPr>
            <w:r>
              <w:t xml:space="preserve">Focus while studying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</w:t>
            </w:r>
            <w:r>
              <w:t xml:space="preserve"> </w:t>
            </w:r>
            <w:r>
              <w:t xml:space="preserve">Advanced code obfuscation and diversification</w:t>
            </w:r>
          </w:p>
        </w:tc>
        <w:tc>
          <w:tcPr/>
          <w:p>
            <w:pPr>
              <w:pStyle w:val="Compact"/>
            </w:pPr>
            <w:r>
              <w:t xml:space="preserve">Obfuscation taxonomy; opaque predicates, bogus control flow, dead code; data encoding; virtualisation-based obfuscation; measuring obfuscation (potency, resilience, cost)</w:t>
            </w:r>
          </w:p>
        </w:tc>
        <w:tc>
          <w:tcPr/>
          <w:p>
            <w:pPr>
              <w:pStyle w:val="Compact"/>
            </w:pPr>
            <w:r>
              <w:t xml:space="preserve">The purpose and cost of obfuscation; measurement metrics; the basic techniques from Week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</w:t>
            </w:r>
            <w:r>
              <w:t xml:space="preserve"> </w:t>
            </w:r>
            <w:r>
              <w:t xml:space="preserve">Certificates and cryptographic methods</w:t>
            </w:r>
          </w:p>
        </w:tc>
        <w:tc>
          <w:tcPr/>
          <w:p>
            <w:pPr>
              <w:pStyle w:val="Compact"/>
            </w:pPr>
            <w:r>
              <w:t xml:space="preserve">Choosing algorithms and key lengths; modes and padding; HMAC, encrypt-then-MAC, replay; RSA-OAEP/PSS, Ed25519/X25519; digital signatures; Diffie–Hellman and man-in-the-middle; PKI, X.509, chains; CRL/OCSP; PKCS#11/SoftHSM; post-quantum</w:t>
            </w:r>
          </w:p>
        </w:tc>
        <w:tc>
          <w:tcPr/>
          <w:p>
            <w:pPr>
              <w:pStyle w:val="Compact"/>
            </w:pPr>
            <w:r>
              <w:t xml:space="preserve">The security-level table; the correct mode and padding; pitfalls of signature verification; the four questions of chain validation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11</w:t>
            </w:r>
            <w:r>
              <w:t xml:space="preserve"> </w:t>
            </w:r>
            <w:r>
              <w:t xml:space="preserve">White-box cryptography</w:t>
            </w:r>
          </w:p>
        </w:tc>
        <w:tc>
          <w:tcPr/>
          <w:p>
            <w:pPr>
              <w:pStyle w:val="Compact"/>
            </w:pPr>
            <w:r>
              <w:t xml:space="preserve">White-box and black-box attacker models; table-based implementation; key protection; known attack families and countermeasures; software security modules</w:t>
            </w:r>
          </w:p>
        </w:tc>
        <w:tc>
          <w:tcPr/>
          <w:p>
            <w:pPr>
              <w:pStyle w:val="Compact"/>
            </w:pPr>
            <w:r>
              <w:t xml:space="preserve">Attacker models; where white-box fits in layered defence, and its limits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</w:t>
            </w:r>
            <w:r>
              <w:t xml:space="preserve"> </w:t>
            </w:r>
            <w:r>
              <w:t xml:space="preserve">Certification and penetration-test planning</w:t>
            </w:r>
          </w:p>
        </w:tc>
        <w:tc>
          <w:tcPr/>
          <w:p>
            <w:pPr>
              <w:pStyle w:val="Compact"/>
            </w:pPr>
            <w:r>
              <w:t xml:space="preserve">The 13 steps of independent assessment; the testing expectations of standards; vulnerability assessment; penetration test plan and reporting</w:t>
            </w:r>
          </w:p>
        </w:tc>
        <w:tc>
          <w:tcPr/>
          <w:p>
            <w:pPr>
              <w:pStyle w:val="Compact"/>
            </w:pPr>
            <w:r>
              <w:t xml:space="preserve">Target of evaluation, requirement template, finding–action, impact analysis, delta assessment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</w:t>
            </w:r>
            <w:r>
              <w:t xml:space="preserve"> </w:t>
            </w:r>
            <w:r>
              <w:t xml:space="preserve">Security requirements</w:t>
            </w:r>
          </w:p>
        </w:tc>
        <w:tc>
          <w:tcPr/>
          <w:p>
            <w:pPr>
              <w:pStyle w:val="Compact"/>
            </w:pPr>
            <w:r>
              <w:t xml:space="preserve">What makes a good requirement; traceability and the compliance matrix; deferred requirements; Common Criteria, EAL; FIPS 140-3; ETSI, GSMA, EMVCo, PCI, MASVS</w:t>
            </w:r>
          </w:p>
        </w:tc>
        <w:tc>
          <w:tcPr/>
          <w:p>
            <w:pPr>
              <w:pStyle w:val="Compact"/>
            </w:pPr>
            <w:r>
              <w:t xml:space="preserve">The requirement → control → verification → evidence chain; CC and FIPS concepts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14</w:t>
            </w:r>
            <w:r>
              <w:t xml:space="preserve"> </w:t>
            </w:r>
            <w:r>
              <w:t xml:space="preserve">Tigress and diversification</w:t>
            </w:r>
          </w:p>
        </w:tc>
        <w:tc>
          <w:tcPr/>
          <w:p>
            <w:pPr>
              <w:pStyle w:val="Compact"/>
            </w:pPr>
            <w:r>
              <w:t xml:space="preserve">Source-to-source obfuscation; composing transformations; seed-based diversification; evaluating resilience</w:t>
            </w:r>
          </w:p>
        </w:tc>
        <w:tc>
          <w:tcPr/>
          <w:p>
            <w:pPr>
              <w:pStyle w:val="Compact"/>
            </w:pPr>
            <w:r>
              <w:t xml:space="preserve">The purpose of diversification; measuring cost and effectiveness</w:t>
            </w:r>
          </w:p>
        </w:tc>
      </w:tr>
    </w:tbl>
    <w:p>
      <w:pPr>
        <w:pStyle w:val="BodyText"/>
      </w:pPr>
      <w:r>
        <w:drawing>
          <wp:inline>
            <wp:extent cx="5759999" cy="2888214"/>
            <wp:effectExtent b="0" l="0" r="0" t="0"/>
            <wp:docPr descr="Quiz-2 scope" title="" id="21" name="Picture"/>
            <a:graphic>
              <a:graphicData uri="http://schemas.openxmlformats.org/drawingml/2006/picture">
                <pic:pic>
                  <pic:nvPicPr>
                    <pic:cNvPr descr="h16-01-kapsa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88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3"/>
    <w:bookmarkStart w:id="30" w:name="frequently-confused-concepts"/>
    <w:p>
      <w:pPr>
        <w:pStyle w:val="Heading2"/>
      </w:pPr>
      <w:r>
        <w:t xml:space="preserve">2. Frequently confused concepts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Concept A</w:t>
            </w:r>
          </w:p>
        </w:tc>
        <w:tc>
          <w:tcPr/>
          <w:p>
            <w:pPr>
              <w:pStyle w:val="Compact"/>
            </w:pPr>
            <w:r>
              <w:t xml:space="preserve">Concept B</w:t>
            </w:r>
          </w:p>
        </w:tc>
        <w:tc>
          <w:tcPr/>
          <w:p>
            <w:pPr>
              <w:pStyle w:val="Compact"/>
            </w:pPr>
            <w:r>
              <w:t xml:space="preserve">Difference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CBC</w:t>
            </w:r>
          </w:p>
        </w:tc>
        <w:tc>
          <w:tcPr/>
          <w:p>
            <w:pPr>
              <w:pStyle w:val="Compact"/>
            </w:pPr>
            <w:r>
              <w:t xml:space="preserve">GCM</w:t>
            </w:r>
          </w:p>
        </w:tc>
        <w:tc>
          <w:tcPr/>
          <w:p>
            <w:pPr>
              <w:pStyle w:val="Compact"/>
            </w:pPr>
            <w:r>
              <w:t xml:space="preserve">CBC provides confidentiality only and needs padding; GCM provides confidentiality + integrity (AEAD), no padding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A MAC is symmetric; a signature is asymmetric and provides non-repudiation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Encrypt-then-MAC</w:t>
            </w:r>
          </w:p>
        </w:tc>
        <w:tc>
          <w:tcPr/>
          <w:p>
            <w:pPr>
              <w:pStyle w:val="Compact"/>
            </w:pPr>
            <w:r>
              <w:t xml:space="preserve">MAC-then-encrypt</w:t>
            </w:r>
          </w:p>
        </w:tc>
        <w:tc>
          <w:tcPr/>
          <w:p>
            <w:pPr>
              <w:pStyle w:val="Compact"/>
            </w:pPr>
            <w:r>
              <w:t xml:space="preserve">The former is the correct order; the latter is open to padding-oracle attacks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RSA-OAEP</w:t>
            </w:r>
          </w:p>
        </w:tc>
        <w:tc>
          <w:tcPr/>
          <w:p>
            <w:pPr>
              <w:pStyle w:val="Compact"/>
            </w:pPr>
            <w:r>
              <w:t xml:space="preserve">RSA-PSS</w:t>
            </w:r>
          </w:p>
        </w:tc>
        <w:tc>
          <w:tcPr/>
          <w:p>
            <w:pPr>
              <w:pStyle w:val="Compact"/>
            </w:pPr>
            <w:r>
              <w:t xml:space="preserve">OAEP is an encryption padding scheme, PSS is a signature padding scheme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Ed25519</w:t>
            </w:r>
          </w:p>
        </w:tc>
        <w:tc>
          <w:tcPr/>
          <w:p>
            <w:pPr>
              <w:pStyle w:val="Compact"/>
            </w:pPr>
            <w:r>
              <w:t xml:space="preserve">X25519</w:t>
            </w:r>
          </w:p>
        </w:tc>
        <w:tc>
          <w:tcPr/>
          <w:p>
            <w:pPr>
              <w:pStyle w:val="Compact"/>
            </w:pPr>
            <w:r>
              <w:t xml:space="preserve">Ed25519 is for signatures, X25519 is for key agreement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CA</w:t>
            </w:r>
          </w:p>
        </w:tc>
        <w:tc>
          <w:tcPr/>
          <w:p>
            <w:pPr>
              <w:pStyle w:val="Compact"/>
            </w:pPr>
            <w:r>
              <w:t xml:space="preserve">Intermediate CA</w:t>
            </w:r>
          </w:p>
        </w:tc>
        <w:tc>
          <w:tcPr/>
          <w:p>
            <w:pPr>
              <w:pStyle w:val="Compact"/>
            </w:pPr>
            <w:r>
              <w:t xml:space="preserve">The root is offline and self-signed; the intermediate CA issues day-to-day certificates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CN</w:t>
            </w:r>
          </w:p>
        </w:tc>
        <w:tc>
          <w:tcPr/>
          <w:p>
            <w:pPr>
              <w:pStyle w:val="Compact"/>
            </w:pPr>
            <w:r>
              <w:t xml:space="preserve">SAN</w:t>
            </w:r>
          </w:p>
        </w:tc>
        <w:tc>
          <w:tcPr/>
          <w:p>
            <w:pPr>
              <w:pStyle w:val="Compact"/>
            </w:pPr>
            <w:r>
              <w:t xml:space="preserve">Hostname verification is performed against the SAN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CRL</w:t>
            </w:r>
          </w:p>
        </w:tc>
        <w:tc>
          <w:tcPr/>
          <w:p>
            <w:pPr>
              <w:pStyle w:val="Compact"/>
            </w:pPr>
            <w:r>
              <w:t xml:space="preserve">OCSP</w:t>
            </w:r>
          </w:p>
        </w:tc>
        <w:tc>
          <w:tcPr/>
          <w:p>
            <w:pPr>
              <w:pStyle w:val="Compact"/>
            </w:pPr>
            <w:r>
              <w:t xml:space="preserve">A periodic list / a live query; stapling provides privacy and speed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</w:t>
            </w:r>
          </w:p>
        </w:tc>
        <w:tc>
          <w:tcPr/>
          <w:p>
            <w:pPr>
              <w:pStyle w:val="Compact"/>
            </w:pPr>
            <w:r>
              <w:t xml:space="preserve">SoftHSM</w:t>
            </w:r>
          </w:p>
        </w:tc>
        <w:tc>
          <w:tcPr/>
          <w:p>
            <w:pPr>
              <w:pStyle w:val="Compact"/>
            </w:pPr>
            <w:r>
              <w:t xml:space="preserve">Hardware-backed protection / a software simulation (same PKCS#11 interface)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</w:t>
            </w:r>
          </w:p>
        </w:tc>
        <w:tc>
          <w:tcPr/>
          <w:p>
            <w:pPr>
              <w:pStyle w:val="Compact"/>
            </w:pPr>
            <w:r>
              <w:t xml:space="preserve">PP</w:t>
            </w:r>
          </w:p>
        </w:tc>
        <w:tc>
          <w:tcPr/>
          <w:p>
            <w:pPr>
              <w:pStyle w:val="Compact"/>
            </w:pPr>
            <w:r>
              <w:t xml:space="preserve">A product-specific security target / a common requirement set for a product class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EAL</w:t>
            </w:r>
          </w:p>
        </w:tc>
        <w:tc>
          <w:tcPr/>
          <w:p>
            <w:pPr>
              <w:pStyle w:val="Compact"/>
            </w:pPr>
            <w:r>
              <w:t xml:space="preserve">Attack potential</w:t>
            </w:r>
          </w:p>
        </w:tc>
        <w:tc>
          <w:tcPr/>
          <w:p>
            <w:pPr>
              <w:pStyle w:val="Compact"/>
            </w:pPr>
            <w:r>
              <w:t xml:space="preserve">The depth of the assessment / the resources an attacker requires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FIPS 140-3 Level 2</w:t>
            </w:r>
          </w:p>
        </w:tc>
        <w:tc>
          <w:tcPr/>
          <w:p>
            <w:pPr>
              <w:pStyle w:val="Compact"/>
            </w:pPr>
            <w:r>
              <w:t xml:space="preserve">Level 3</w:t>
            </w:r>
          </w:p>
        </w:tc>
        <w:tc>
          <w:tcPr/>
          <w:p>
            <w:pPr>
              <w:pStyle w:val="Compact"/>
            </w:pPr>
            <w:r>
              <w:t xml:space="preserve">Tamper evidence / tamper resistance and 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Met</w:t>
            </w:r>
          </w:p>
        </w:tc>
        <w:tc>
          <w:tcPr/>
          <w:p>
            <w:pPr>
              <w:pStyle w:val="Compact"/>
            </w:pPr>
            <w:r>
              <w:t xml:space="preserve">Deferred</w:t>
            </w:r>
          </w:p>
        </w:tc>
        <w:tc>
          <w:tcPr/>
          <w:p>
            <w:pPr>
              <w:pStyle w:val="Compact"/>
            </w:pPr>
            <w:r>
              <w:t xml:space="preserve">The product meets it itself / another party meets it (to whom, why and how it is written up)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ISO/IEC 27001</w:t>
            </w:r>
          </w:p>
        </w:tc>
        <w:tc>
          <w:tcPr/>
          <w:p>
            <w:pPr>
              <w:pStyle w:val="Compact"/>
            </w:pPr>
            <w:r>
              <w:t xml:space="preserve">Common Criteria</w:t>
            </w:r>
          </w:p>
        </w:tc>
        <w:tc>
          <w:tcPr/>
          <w:p>
            <w:pPr>
              <w:pStyle w:val="Compact"/>
            </w:pPr>
            <w:r>
              <w:t xml:space="preserve">Certifies the organisation / certifies the product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impact analysis</w:t>
            </w:r>
          </w:p>
        </w:tc>
        <w:tc>
          <w:tcPr/>
          <w:p>
            <w:pPr>
              <w:pStyle w:val="Compact"/>
            </w:pPr>
            <w:r>
              <w:t xml:space="preserve">Delta assessment</w:t>
            </w:r>
          </w:p>
        </w:tc>
        <w:tc>
          <w:tcPr/>
          <w:p>
            <w:pPr>
              <w:pStyle w:val="Compact"/>
            </w:pPr>
            <w:r>
              <w:t xml:space="preserve">Documents the security impact of a change / re-assesses only the changed part</w:t>
            </w:r>
          </w:p>
        </w:tc>
      </w:tr>
    </w:tbl>
    <w:p>
      <w:pPr>
        <w:pStyle w:val="BodyText"/>
      </w:pPr>
      <w:r>
        <w:drawing>
          <wp:inline>
            <wp:extent cx="5759999" cy="3638557"/>
            <wp:effectExtent b="0" l="0" r="0" t="0"/>
            <wp:docPr descr="The term in one sentence" title="" id="25" name="Picture"/>
            <a:graphic>
              <a:graphicData uri="http://schemas.openxmlformats.org/drawingml/2006/picture">
                <pic:pic>
                  <pic:nvPicPr>
                    <pic:cNvPr descr="h16-04-donem-ozeti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638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280342"/>
            <wp:effectExtent b="0" l="0" r="0" t="0"/>
            <wp:docPr descr="Final and course passing grade" title="" id="28" name="Picture"/>
            <a:graphic>
              <a:graphicData uri="http://schemas.openxmlformats.org/drawingml/2006/picture">
                <pic:pic>
                  <pic:nvPicPr>
                    <pic:cNvPr descr="h16-02-final-hesabi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0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0"/>
    <w:bookmarkStart w:id="36" w:name="sample-questions"/>
    <w:p>
      <w:pPr>
        <w:pStyle w:val="Heading2"/>
      </w:pPr>
      <w:r>
        <w:t xml:space="preserve">3. Sample questions</w:t>
      </w:r>
    </w:p>
    <w:bookmarkStart w:id="34" w:name="cryptography-and-pki-week-10"/>
    <w:p>
      <w:pPr>
        <w:pStyle w:val="Heading3"/>
      </w:pPr>
      <w:r>
        <w:t xml:space="preserve">Cryptography and PKI (Week 10)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Answer pattern" title="" id="32" name="Picture"/>
            <a:graphic>
              <a:graphicData uri="http://schemas.openxmlformats.org/drawingml/2006/picture">
                <pic:pic>
                  <pic:nvPicPr>
                    <pic:cNvPr descr="h16-03-cevap-kalib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1. A design uses RSA-2048 together with AES-256. What would you say about its security level?</w:t>
      </w:r>
    </w:p>
    <w:p>
      <w:pPr>
        <w:pStyle w:val="BlockText"/>
      </w:pPr>
      <w:r>
        <w:t xml:space="preserve">A system is only as strong as its weakest link: RSA-2048 provides roughly 112 bits of security, so AES-256’s</w:t>
      </w:r>
      <w:r>
        <w:t xml:space="preserve"> </w:t>
      </w:r>
      <w:r>
        <w:t xml:space="preserve">256-bit level goes to waste. If 128 bits is the target, RSA-3072 or X25519/Ed25519 should be used instead.</w:t>
      </w:r>
    </w:p>
    <w:p>
      <w:pPr>
        <w:pStyle w:val="BlockText"/>
      </w:pPr>
      <w:r>
        <w:rPr>
          <w:b/>
          <w:bCs/>
        </w:rPr>
        <w:t xml:space="preserve">2. On decryption failures a server returns two different messages,</w:t>
      </w:r>
      <w:r>
        <w:rPr>
          <w:b/>
          <w:bCs/>
        </w:rPr>
        <w:t xml:space="preserve"> </w:t>
      </w:r>
      <w:r>
        <w:rPr>
          <w:b/>
          <w:bCs/>
        </w:rPr>
        <w:t xml:space="preserve">‘invalid padding’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</w:rPr>
        <w:t xml:space="preserve">‘invalid MAC.’</w:t>
      </w:r>
      <w:r>
        <w:rPr>
          <w:b/>
          <w:bCs/>
        </w:rPr>
        <w:t xml:space="preserve"> </w:t>
      </w:r>
      <w:r>
        <w:rPr>
          <w:b/>
          <w:bCs/>
        </w:rPr>
        <w:t xml:space="preserve">What is the risk?</w:t>
      </w:r>
    </w:p>
    <w:p>
      <w:pPr>
        <w:pStyle w:val="BlockText"/>
      </w:pPr>
      <w:r>
        <w:t xml:space="preserve">A padding oracle: by modifying the ciphertext and watching which message comes back, an attacker can decrypt the</w:t>
      </w:r>
      <w:r>
        <w:t xml:space="preserve"> </w:t>
      </w:r>
      <w:r>
        <w:t xml:space="preserve">message. A single, identical error should be returned instead, preferably by using AEAD.</w:t>
      </w:r>
    </w:p>
    <w:p>
      <w:pPr>
        <w:pStyle w:val="BlockText"/>
      </w:pPr>
      <w:r>
        <w:rPr>
          <w:b/>
          <w:bCs/>
        </w:rPr>
        <w:t xml:space="preserve">3. What is wrong with this signature-verification code?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EVP_DigestVerify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imza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imza_n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guncellemeyi_kur</w:t>
      </w:r>
      <w:r>
        <w:rPr>
          <w:rStyle w:val="OperatorTok"/>
        </w:rPr>
        <w:t xml:space="preserve">();</w:t>
      </w:r>
    </w:p>
    <w:p>
      <w:pPr>
        <w:pStyle w:val="BlockText"/>
      </w:pPr>
      <w:r>
        <w:t xml:space="preserve">Negative error values also evaluate as true; the check should be</w:t>
      </w:r>
      <w:r>
        <w:t xml:space="preserve"> </w:t>
      </w:r>
      <w:r>
        <w:rPr>
          <w:rStyle w:val="VerbatimChar"/>
        </w:rPr>
        <w:t xml:space="preserve">r == 1</w:t>
      </w:r>
      <w:r>
        <w:t xml:space="preserve">. In addition, the signed content</w:t>
      </w:r>
      <w:r>
        <w:t xml:space="preserve"> </w:t>
      </w:r>
      <w:r>
        <w:t xml:space="preserve">should cover the version number, and older versions should be rejected.</w:t>
      </w:r>
    </w:p>
    <w:p>
      <w:pPr>
        <w:pStyle w:val="BlockText"/>
      </w:pPr>
      <w:r>
        <w:rPr>
          <w:b/>
          <w:bCs/>
        </w:rPr>
        <w:t xml:space="preserve">4.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openssl verify -CAfile kok.crt sunucu.crt</w:t>
      </w:r>
      <w:r>
        <w:rPr>
          <w:b/>
          <w:bCs/>
        </w:rPr>
        <w:t xml:space="preserve"> </w:t>
      </w:r>
      <w:r>
        <w:rPr>
          <w:b/>
          <w:bCs/>
        </w:rPr>
        <w:t xml:space="preserve">fails, but adding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-untrusted ara.crt</w:t>
      </w:r>
      <w:r>
        <w:rPr>
          <w:b/>
          <w:bCs/>
        </w:rPr>
        <w:t xml:space="preserve"> </w:t>
      </w:r>
      <w:r>
        <w:rPr>
          <w:b/>
          <w:bCs/>
        </w:rPr>
        <w:t xml:space="preserve">makes it succeed. Why? What does this correspond to in the field?</w:t>
      </w:r>
    </w:p>
    <w:p>
      <w:pPr>
        <w:pStyle w:val="BlockText"/>
      </w:pPr>
      <w:r>
        <w:t xml:space="preserve">The chain cannot reach the root without the intermediate certificate. In the field, a server failing to send its</w:t>
      </w:r>
      <w:r>
        <w:t xml:space="preserve"> </w:t>
      </w:r>
      <w:r>
        <w:t xml:space="preserve">intermediate certificate is a common configuration mistake.</w:t>
      </w:r>
    </w:p>
    <w:p>
      <w:pPr>
        <w:pStyle w:val="BlockText"/>
      </w:pPr>
      <w:r>
        <w:rPr>
          <w:b/>
          <w:bCs/>
        </w:rPr>
        <w:t xml:space="preserve">5. Accepting a certificate when the OCSP responder cannot be reached is which pattern? How is it mitigated?</w:t>
      </w:r>
    </w:p>
    <w:p>
      <w:pPr>
        <w:pStyle w:val="BlockText"/>
      </w:pPr>
      <w:r>
        <w:t xml:space="preserve">Fail-open (soft-fail). Mandatory stapling (Must-Staple), or short-lived certificates.</w:t>
      </w:r>
    </w:p>
    <w:p>
      <w:pPr>
        <w:pStyle w:val="BlockText"/>
      </w:pPr>
      <w:r>
        <w:rPr>
          <w:b/>
          <w:bCs/>
        </w:rPr>
        <w:t xml:space="preserve">6. How is a man-in-the-middle attack prevented against unauthenticated Diffie–Hellman?</w:t>
      </w:r>
    </w:p>
    <w:p>
      <w:pPr>
        <w:pStyle w:val="BlockText"/>
      </w:pPr>
      <w:r>
        <w:t xml:space="preserve">The DH values are signed with a key of known identity (</w:t>
      </w:r>
      <w:r>
        <w:rPr>
          <w:rStyle w:val="VerbatimChar"/>
        </w:rPr>
        <w:t xml:space="preserve">CertificateVerify</w:t>
      </w:r>
      <w:r>
        <w:t xml:space="preserve"> </w:t>
      </w:r>
      <w:r>
        <w:t xml:space="preserve">in TLS 1.3), and the other party</w:t>
      </w:r>
      <w:r>
        <w:t xml:space="preserve"> </w:t>
      </w:r>
      <w:r>
        <w:t xml:space="preserve">verifies that identity.</w:t>
      </w:r>
    </w:p>
    <w:bookmarkEnd w:id="34"/>
    <w:bookmarkStart w:id="35" w:name="assessment-and-requirements-weeks-1213"/>
    <w:p>
      <w:pPr>
        <w:pStyle w:val="Heading3"/>
      </w:pPr>
      <w:r>
        <w:t xml:space="preserve">Assessment and requirements (weeks 12–13)</w:t>
      </w:r>
    </w:p>
    <w:p>
      <w:pPr>
        <w:pStyle w:val="BlockText"/>
      </w:pPr>
      <w:r>
        <w:rPr>
          <w:b/>
          <w:bCs/>
        </w:rPr>
        <w:t xml:space="preserve">7. Why must the target of evaluation (TOE) be defined</w:t>
      </w:r>
      <w:r>
        <w:rPr>
          <w:b/>
          <w:bCs/>
        </w:rPr>
        <w:t xml:space="preserve"> </w:t>
      </w:r>
      <w:r>
        <w:rPr>
          <w:b/>
          <w:bCs/>
        </w:rPr>
        <w:t xml:space="preserve">‘uniquely’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The report is valid only for the exact binary that was examined; a version number alone does not guarantee it</w:t>
      </w:r>
      <w:r>
        <w:t xml:space="preserve"> </w:t>
      </w:r>
      <w:r>
        <w:t xml:space="preserve">is the same file. The binary, the source and a digest value are provided together.</w:t>
      </w:r>
    </w:p>
    <w:p>
      <w:pPr>
        <w:pStyle w:val="BlockText"/>
      </w:pPr>
      <w:r>
        <w:rPr>
          <w:b/>
          <w:bCs/>
        </w:rPr>
        <w:t xml:space="preserve">8. What is the relationship between a security impact analysis and a delta assessment?</w:t>
      </w:r>
    </w:p>
    <w:p>
      <w:pPr>
        <w:pStyle w:val="BlockText"/>
      </w:pPr>
      <w:r>
        <w:t xml:space="preserve">The impact analysis documents the security effect of the changes (the change log, the affected files); building</w:t>
      </w:r>
      <w:r>
        <w:t xml:space="preserve"> </w:t>
      </w:r>
      <w:r>
        <w:t xml:space="preserve">on that document, the delta assessment re-assesses only the part that changed.</w:t>
      </w:r>
    </w:p>
    <w:p>
      <w:pPr>
        <w:pStyle w:val="BlockText"/>
      </w:pPr>
      <w:r>
        <w:rPr>
          <w:b/>
          <w:bCs/>
        </w:rPr>
        <w:t xml:space="preserve">9. Why is</w:t>
      </w:r>
      <w:r>
        <w:rPr>
          <w:b/>
          <w:bCs/>
        </w:rPr>
        <w:t xml:space="preserve"> </w:t>
      </w:r>
      <w:r>
        <w:rPr>
          <w:b/>
          <w:bCs/>
        </w:rPr>
        <w:t xml:space="preserve">‘the application must be secure’</w:t>
      </w:r>
      <w:r>
        <w:rPr>
          <w:b/>
          <w:bCs/>
        </w:rPr>
        <w:t xml:space="preserve"> </w:t>
      </w:r>
      <w:r>
        <w:rPr>
          <w:b/>
          <w:bCs/>
        </w:rPr>
        <w:t xml:space="preserve">a bad requirement? How would you fix it?</w:t>
      </w:r>
    </w:p>
    <w:p>
      <w:pPr>
        <w:pStyle w:val="BlockText"/>
      </w:pPr>
      <w:r>
        <w:t xml:space="preserve">It cannot be verified. It should be written to be measurable and singular: e.g.,</w:t>
      </w:r>
      <w:r>
        <w:t xml:space="preserve"> </w:t>
      </w:r>
      <w:r>
        <w:t xml:space="preserve">“the release build must be</w:t>
      </w:r>
      <w:r>
        <w:t xml:space="preserve"> </w:t>
      </w:r>
      <w:r>
        <w:t xml:space="preserve">produced with a stack canary, PIE and full RELRO.”</w:t>
      </w:r>
    </w:p>
    <w:p>
      <w:pPr>
        <w:pStyle w:val="BlockText"/>
      </w:pPr>
      <w:r>
        <w:rPr>
          <w:b/>
          <w:bCs/>
        </w:rPr>
        <w:t xml:space="preserve">10. What does a row marked</w:t>
      </w:r>
      <w:r>
        <w:rPr>
          <w:b/>
          <w:bCs/>
        </w:rPr>
        <w:t xml:space="preserve"> </w:t>
      </w:r>
      <w:r>
        <w:rPr>
          <w:b/>
          <w:bCs/>
        </w:rPr>
        <w:t xml:space="preserve">‘met’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compliance matrix, but with no evidence, mean to an assessor?</w:t>
      </w:r>
    </w:p>
    <w:p>
      <w:pPr>
        <w:pStyle w:val="BlockText"/>
      </w:pPr>
      <w:r>
        <w:t xml:space="preserve">It is treated as unmet; it becomes one of the first findings.</w:t>
      </w:r>
    </w:p>
    <w:p>
      <w:pPr>
        <w:pStyle w:val="BlockText"/>
      </w:pPr>
      <w:r>
        <w:rPr>
          <w:b/>
          <w:bCs/>
        </w:rPr>
        <w:t xml:space="preserve">11. If a library cannot meet the</w:t>
      </w:r>
      <w:r>
        <w:rPr>
          <w:b/>
          <w:bCs/>
        </w:rPr>
        <w:t xml:space="preserve"> </w:t>
      </w:r>
      <w:r>
        <w:rPr>
          <w:b/>
          <w:bCs/>
        </w:rPr>
        <w:t xml:space="preserve">‘secure installation and update’</w:t>
      </w:r>
      <w:r>
        <w:rPr>
          <w:b/>
          <w:bCs/>
        </w:rPr>
        <w:t xml:space="preserve"> </w:t>
      </w:r>
      <w:r>
        <w:rPr>
          <w:b/>
          <w:bCs/>
        </w:rPr>
        <w:t xml:space="preserve">requirement, what should it do?</w:t>
      </w:r>
    </w:p>
    <w:p>
      <w:pPr>
        <w:pStyle w:val="BlockText"/>
      </w:pPr>
      <w:r>
        <w:t xml:space="preserve">It should defer the requirement to the parent application, and the guide should state to whom and why it was</w:t>
      </w:r>
      <w:r>
        <w:t xml:space="preserve"> </w:t>
      </w:r>
      <w:r>
        <w:t xml:space="preserve">deferred, and how the parent application will meet it.</w:t>
      </w:r>
    </w:p>
    <w:p>
      <w:pPr>
        <w:pStyle w:val="BlockText"/>
      </w:pPr>
      <w:r>
        <w:rPr>
          <w:b/>
          <w:bCs/>
        </w:rPr>
        <w:t xml:space="preserve">12. Is it correct to say that an EAL4+ product</w:t>
      </w:r>
      <w:r>
        <w:rPr>
          <w:b/>
          <w:bCs/>
        </w:rPr>
        <w:t xml:space="preserve"> </w:t>
      </w:r>
      <w:r>
        <w:rPr>
          <w:b/>
          <w:bCs/>
        </w:rPr>
        <w:t xml:space="preserve">‘is more secure than’</w:t>
      </w:r>
      <w:r>
        <w:rPr>
          <w:b/>
          <w:bCs/>
        </w:rPr>
        <w:t xml:space="preserve"> </w:t>
      </w:r>
      <w:r>
        <w:rPr>
          <w:b/>
          <w:bCs/>
        </w:rPr>
        <w:t xml:space="preserve">an EAL2 product?</w:t>
      </w:r>
    </w:p>
    <w:p>
      <w:pPr>
        <w:pStyle w:val="BlockText"/>
      </w:pPr>
      <w:r>
        <w:t xml:space="preserve">No. EAL is the depth of the assessment; security depends on the threats and objectives in the security target.</w:t>
      </w:r>
      <w:r>
        <w:t xml:space="preserve"> </w:t>
      </w:r>
      <w:r>
        <w:t xml:space="preserve">The</w:t>
      </w:r>
      <w:r>
        <w:t xml:space="preserve"> </w:t>
      </w:r>
      <w:r>
        <w:t xml:space="preserve">“+”</w:t>
      </w:r>
      <w:r>
        <w:t xml:space="preserve"> </w:t>
      </w:r>
      <w:r>
        <w:t xml:space="preserve">indicates additional assurance components.</w:t>
      </w:r>
    </w:p>
    <w:p>
      <w:pPr>
        <w:pStyle w:val="BlockText"/>
      </w:pPr>
      <w:r>
        <w:rPr>
          <w:b/>
          <w:bCs/>
        </w:rPr>
        <w:t xml:space="preserve">13. Is an application that uses a FIPS 140-3 validated library itself FIPS compliant?</w:t>
      </w:r>
    </w:p>
    <w:p>
      <w:pPr>
        <w:pStyle w:val="BlockText"/>
      </w:pPr>
      <w:r>
        <w:t xml:space="preserve">Not on its own: the validation covers the module. The application must use the module in an approved mode and</w:t>
      </w:r>
      <w:r>
        <w:t xml:space="preserve"> </w:t>
      </w:r>
      <w:r>
        <w:t xml:space="preserve">correctly, and must manage keys correctly.</w:t>
      </w:r>
    </w:p>
    <w:p>
      <w:pPr>
        <w:pStyle w:val="BlockText"/>
      </w:pPr>
      <w:r>
        <w:rPr>
          <w:b/>
          <w:bCs/>
        </w:rPr>
        <w:t xml:space="preserve">14. Which sections of your project does ETSI EN 303 645’s requirement to</w:t>
      </w:r>
      <w:r>
        <w:rPr>
          <w:b/>
          <w:bCs/>
        </w:rPr>
        <w:t xml:space="preserve"> </w:t>
      </w:r>
      <w:r>
        <w:rPr>
          <w:b/>
          <w:bCs/>
        </w:rPr>
        <w:t xml:space="preserve">‘securely store sensitive security parameters’</w:t>
      </w:r>
      <w:r>
        <w:rPr>
          <w:b/>
          <w:bCs/>
        </w:rPr>
        <w:t xml:space="preserve"> </w:t>
      </w:r>
      <w:r>
        <w:rPr>
          <w:b/>
          <w:bCs/>
        </w:rPr>
        <w:t xml:space="preserve">correspond to?</w:t>
      </w:r>
    </w:p>
    <w:p>
      <w:pPr>
        <w:pStyle w:val="BlockText"/>
      </w:pPr>
      <w:r>
        <w:t xml:space="preserve">S5 asset list, S7 data security and the shell matrix, S8 key lifecycle.</w:t>
      </w:r>
    </w:p>
    <w:p>
      <w:pPr>
        <w:pStyle w:val="BlockText"/>
      </w:pPr>
      <w:r>
        <w:rPr>
          <w:b/>
          <w:bCs/>
        </w:rPr>
        <w:t xml:space="preserve">Weeks 9, 11 and 14</w:t>
      </w:r>
    </w:p>
    <w:p>
      <w:pPr>
        <w:pStyle w:val="BlockText"/>
      </w:pPr>
      <w:r>
        <w:t xml:space="preserve">Sample questions for these weeks will be added to this section once their lecture notes are published. Until</w:t>
      </w:r>
      <w:r>
        <w:t xml:space="preserve"> </w:t>
      </w:r>
      <w:r>
        <w:t xml:space="preserve">then, review Week 4’s</w:t>
      </w:r>
      <w:r>
        <w:t xml:space="preserve"> </w:t>
      </w:r>
      <w:r>
        <w:t xml:space="preserve">“Introduction to code obfuscation”</w:t>
      </w:r>
      <w:r>
        <w:t xml:space="preserve"> </w:t>
      </w:r>
      <w:r>
        <w:t xml:space="preserve">and</w:t>
      </w:r>
      <w:r>
        <w:t xml:space="preserve"> </w:t>
      </w:r>
      <w:r>
        <w:t xml:space="preserve">“Control-flow flattening”</w:t>
      </w:r>
      <w:r>
        <w:t xml:space="preserve"> </w:t>
      </w:r>
      <w:r>
        <w:t xml:space="preserve">sections, and Week 3’s</w:t>
      </w:r>
      <w:r>
        <w:t xml:space="preserve"> </w:t>
      </w:r>
      <w:r>
        <w:t xml:space="preserve">“Introduction to white-box cryptography”</w:t>
      </w:r>
      <w:r>
        <w:t xml:space="preserve"> </w:t>
      </w:r>
      <w:r>
        <w:t xml:space="preserve">section for the related topics.</w:t>
      </w:r>
    </w:p>
    <w:bookmarkEnd w:id="35"/>
    <w:bookmarkEnd w:id="36"/>
    <w:bookmarkEnd w:id="37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2026-09-23T17:04:56Z</dcterms:created>
  <dcterms:modified xsi:type="dcterms:W3CDTF">2026-09-23T17:04:56Z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16 — Final Exam Period: Quiz-2</vt:lpwstr>
  </property>
</Properties>
</file>