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25.png" ContentType="image/png"/>
  <Override PartName="/word/media/rId29.png" ContentType="image/png"/>
  <Override PartName="/word/media/rId3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week-15-final-project-demonstrations"/>
    <w:p>
      <w:pPr>
        <w:pStyle w:val="Heading1"/>
      </w:pPr>
      <w:r>
        <w:t xml:space="preserve">Week 15 — Final Project Demonstrations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25.12.2026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LO.1–7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What happens this week?</w:t>
      </w:r>
    </w:p>
    <w:p>
      <w:pPr>
        <w:pStyle w:val="BlockText"/>
      </w:pPr>
      <w:r>
        <w:t xml:space="preserve">There is no lecture this week. The</w:t>
      </w:r>
      <w:r>
        <w:t xml:space="preserve"> </w:t>
      </w:r>
      <w:r>
        <w:rPr>
          <w:b/>
          <w:bCs/>
        </w:rPr>
        <w:t xml:space="preserve">second checkpoint of the term project (RAP2)</w:t>
      </w:r>
      <w:r>
        <w:t xml:space="preserve"> </w:t>
      </w:r>
      <w:r>
        <w:t xml:space="preserve">takes place: each team</w:t>
      </w:r>
      <w:r>
        <w:t xml:space="preserve"> </w:t>
      </w:r>
      <w:r>
        <w:t xml:space="preserve">submits its final report (the complete security guide) and demonstrates its protected application and its test</w:t>
      </w:r>
      <w:r>
        <w:t xml:space="preserve"> </w:t>
      </w:r>
      <w:r>
        <w:t xml:space="preserve">results. RAP2 is</w:t>
      </w:r>
      <w:r>
        <w:t xml:space="preserve"> </w:t>
      </w:r>
      <w:r>
        <w:rPr>
          <w:b/>
          <w:bCs/>
        </w:rPr>
        <w:t xml:space="preserve">70% of the final grade</w:t>
      </w:r>
      <w:r>
        <w:t xml:space="preserve">; the remaining 30% is Quiz-2 in the final exam period</w:t>
      </w:r>
      <w:r>
        <w:t xml:space="preserve"> </w:t>
      </w:r>
      <w:r>
        <w:t xml:space="preserve">(</w:t>
      </w:r>
      <w:r>
        <w:rPr>
          <w:rStyle w:val="VerbatimChar"/>
        </w:rPr>
        <w:t xml:space="preserve">Grade_Final = 0.7·RAP2 + 0.3·QUIZ2</w:t>
      </w:r>
      <w:r>
        <w:t xml:space="preserve">). The course passing grade is calculated as</w:t>
      </w:r>
      <w:r>
        <w:t xml:space="preserve"> </w:t>
      </w:r>
      <w:r>
        <w:rPr>
          <w:rStyle w:val="VerbatimChar"/>
        </w:rPr>
        <w:t xml:space="preserve">0.4·Grade_Midterm + 0.6·Grade_Final</w:t>
      </w:r>
      <w:r>
        <w:t xml:space="preserve">. The detailed rubric is in the project guide.</w:t>
      </w:r>
    </w:p>
    <w:p>
      <w:pPr>
        <w:pStyle w:val="BlockText"/>
      </w:pPr>
      <w:r>
        <w:rPr>
          <w:b/>
          <w:bCs/>
        </w:rPr>
        <w:t xml:space="preserve">Submission and timing rules</w:t>
      </w:r>
    </w:p>
    <w:p>
      <w:pPr>
        <w:pStyle w:val="BlockText"/>
      </w:pPr>
      <w:r>
        <w:t xml:space="preserve">Late submissions are not accepted (syllabus, section G). The demonstration order, time per team and submission</w:t>
      </w:r>
      <w:r>
        <w:t xml:space="preserve"> </w:t>
      </w:r>
      <w:r>
        <w:t xml:space="preserve">time are announced in class. Prepare a finding–action list showing how you closed out the feedback you received</w:t>
      </w:r>
      <w:r>
        <w:t xml:space="preserve"> </w:t>
      </w:r>
      <w:r>
        <w:t xml:space="preserve">at the midterm checkpoint.</w:t>
      </w:r>
    </w:p>
    <w:p>
      <w:r>
        <w:pict>
          <v:rect style="width:0;height:1.5pt" o:hralign="center" o:hrstd="t" o:hr="t"/>
        </w:pict>
      </w:r>
    </w:p>
    <w:bookmarkStart w:id="24" w:name="what-does-the-final-checkpoint-measure"/>
    <w:p>
      <w:pPr>
        <w:pStyle w:val="Heading2"/>
      </w:pPr>
      <w:r>
        <w:t xml:space="preserve">1. What does the final checkpoint measure?</w:t>
      </w:r>
    </w:p>
    <w:p>
      <w:pPr>
        <w:pStyle w:val="FirstParagraph"/>
      </w:pPr>
      <w:r>
        <w:t xml:space="preserve">The criteria of the final checkpoint rubric in the syllabus, and the corresponding sections in your security guide:</w:t>
      </w:r>
    </w:p>
    <w:p>
      <w:pPr>
        <w:pStyle w:val="BodyText"/>
      </w:pPr>
      <w:r>
        <w:drawing>
          <wp:inline>
            <wp:extent cx="5759999" cy="2687780"/>
            <wp:effectExtent b="0" l="0" r="0" t="0"/>
            <wp:docPr descr="RAP2 submission contents" title="" id="21" name="Picture"/>
            <a:graphic>
              <a:graphicData uri="http://schemas.openxmlformats.org/drawingml/2006/picture">
                <pic:pic>
                  <pic:nvPicPr>
                    <pic:cNvPr descr="h15-01-rap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8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Learning outcome</w:t>
            </w:r>
          </w:p>
        </w:tc>
        <w:tc>
          <w:tcPr/>
          <w:p>
            <w:pPr>
              <w:pStyle w:val="Compact"/>
            </w:pPr>
            <w:r>
              <w:t xml:space="preserve">Where in the guide</w:t>
            </w:r>
          </w:p>
        </w:tc>
        <w:tc>
          <w:tcPr/>
          <w:p>
            <w:pPr>
              <w:pStyle w:val="Compact"/>
            </w:pPr>
            <w:r>
              <w:t xml:space="preserve">Which weeks?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Cryptography implementation</w:t>
            </w:r>
          </w:p>
        </w:tc>
        <w:tc>
          <w:tcPr/>
          <w:p>
            <w:pPr>
              <w:pStyle w:val="Compact"/>
            </w:pPr>
            <w:r>
              <w:t xml:space="preserve">LO.2</w:t>
            </w:r>
          </w:p>
        </w:tc>
        <w:tc>
          <w:tcPr/>
          <w:p>
            <w:pPr>
              <w:pStyle w:val="Compact"/>
            </w:pPr>
            <w:r>
              <w:t xml:space="preserve">S8 algorithm inventory, key lifecycle and hierarchy, random numbers</w:t>
            </w:r>
          </w:p>
        </w:tc>
        <w:tc>
          <w:tcPr/>
          <w:p>
            <w:pPr>
              <w:pStyle w:val="Compact"/>
            </w:pPr>
            <w:r>
              <w:t xml:space="preserve">3, 10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Secure communication</w:t>
            </w:r>
          </w:p>
        </w:tc>
        <w:tc>
          <w:tcPr/>
          <w:p>
            <w:pPr>
              <w:pStyle w:val="Compact"/>
            </w:pPr>
            <w:r>
              <w:t xml:space="preserve">LO.4</w:t>
            </w:r>
          </w:p>
        </w:tc>
        <w:tc>
          <w:tcPr/>
          <w:p>
            <w:pPr>
              <w:pStyle w:val="Compact"/>
            </w:pPr>
            <w:r>
              <w:t xml:space="preserve">S6 authentication and binding · S11 TLS, pinning, message-level protection</w:t>
            </w:r>
          </w:p>
        </w:tc>
        <w:tc>
          <w:tcPr/>
          <w:p>
            <w:pPr>
              <w:pStyle w:val="Compact"/>
            </w:pPr>
            <w:r>
              <w:t xml:space="preserve">3, 10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Asset management</w:t>
            </w:r>
          </w:p>
        </w:tc>
        <w:tc>
          <w:tcPr/>
          <w:p>
            <w:pPr>
              <w:pStyle w:val="Compact"/>
            </w:pPr>
            <w:r>
              <w:t xml:space="preserve">LO.5</w:t>
            </w:r>
          </w:p>
        </w:tc>
        <w:tc>
          <w:tcPr/>
          <w:p>
            <w:pPr>
              <w:pStyle w:val="Compact"/>
            </w:pPr>
            <w:r>
              <w:t xml:space="preserve">S5 asset list (complete) · S8 keys</w:t>
            </w:r>
          </w:p>
        </w:tc>
        <w:tc>
          <w:tcPr/>
          <w:p>
            <w:pPr>
              <w:pStyle w:val="Compact"/>
            </w:pPr>
            <w:r>
              <w:t xml:space="preserve">1, 3, 13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Binary application protections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S9 code hardening (advanced) · S15 build, signing and deployment pipeline</w:t>
            </w:r>
          </w:p>
        </w:tc>
        <w:tc>
          <w:tcPr/>
          <w:p>
            <w:pPr>
              <w:pStyle w:val="Compact"/>
            </w:pPr>
            <w:r>
              <w:t xml:space="preserve">4, 5, 6, 9, 14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testing and unit tests</w:t>
            </w:r>
          </w:p>
        </w:tc>
        <w:tc>
          <w:tcPr/>
          <w:p>
            <w:pPr>
              <w:pStyle w:val="Compact"/>
            </w:pPr>
            <w:r>
              <w:t xml:space="preserve">LO.6</w:t>
            </w:r>
          </w:p>
        </w:tc>
        <w:tc>
          <w:tcPr/>
          <w:p>
            <w:pPr>
              <w:pStyle w:val="Compact"/>
            </w:pPr>
            <w:r>
              <w:t xml:space="preserve">S16 test and verification results</w:t>
            </w:r>
          </w:p>
        </w:tc>
        <w:tc>
          <w:tcPr/>
          <w:p>
            <w:pPr>
              <w:pStyle w:val="Compact"/>
            </w:pPr>
            <w:r>
              <w:t xml:space="preserve">4, 12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standards</w:t>
            </w:r>
          </w:p>
        </w:tc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S1 references · S14 assumptions and deferrals · S17 compliance matrix</w:t>
            </w:r>
          </w:p>
        </w:tc>
        <w:tc>
          <w:tcPr/>
          <w:p>
            <w:pPr>
              <w:pStyle w:val="Compact"/>
            </w:pPr>
            <w:r>
              <w:t xml:space="preserve">12, 13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report and presentation</w:t>
            </w:r>
          </w:p>
        </w:tc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All sections; document structure, consistency, presentation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</w:tr>
    </w:tbl>
    <w:bookmarkStart w:id="23" w:name="X216758a0d6044b428750ba4d3543b650b83543d"/>
    <w:p>
      <w:pPr>
        <w:pStyle w:val="Heading3"/>
      </w:pPr>
      <w:r>
        <w:t xml:space="preserve">Sections that must be present in the final report</w:t>
      </w:r>
    </w:p>
    <w:p>
      <w:pPr>
        <w:pStyle w:val="FirstParagraph"/>
      </w:pPr>
      <w:r>
        <w:t xml:space="preserve">At the final checkpoint, every section is expected to be</w:t>
      </w:r>
      <w:r>
        <w:t xml:space="preserve"> </w:t>
      </w:r>
      <w:r>
        <w:rPr>
          <w:b/>
          <w:bCs/>
        </w:rPr>
        <w:t xml:space="preserve">complete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Difference from the midterm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S0</w:t>
            </w:r>
          </w:p>
        </w:tc>
        <w:tc>
          <w:tcPr/>
          <w:p>
            <w:pPr>
              <w:pStyle w:val="Compact"/>
            </w:pPr>
            <w:r>
              <w:t xml:space="preserve">Cover, document control, version history</w:t>
            </w:r>
          </w:p>
        </w:tc>
        <w:tc>
          <w:tcPr/>
          <w:p>
            <w:pPr>
              <w:pStyle w:val="Compact"/>
            </w:pPr>
            <w:r>
              <w:t xml:space="preserve">Version history up to date; changes marked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</w:t>
            </w:r>
          </w:p>
        </w:tc>
        <w:tc>
          <w:tcPr/>
          <w:p>
            <w:pPr>
              <w:pStyle w:val="Compact"/>
            </w:pPr>
            <w:r>
              <w:t xml:space="preserve">Scope, target audience, abbreviations, references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S2–S4</w:t>
            </w:r>
          </w:p>
        </w:tc>
        <w:tc>
          <w:tcPr/>
          <w:p>
            <w:pPr>
              <w:pStyle w:val="Compact"/>
            </w:pPr>
            <w:r>
              <w:t xml:space="preserve">Product, architecture, threat model</w:t>
            </w:r>
          </w:p>
        </w:tc>
        <w:tc>
          <w:tcPr/>
          <w:p>
            <w:pPr>
              <w:pStyle w:val="Compact"/>
            </w:pPr>
            <w:r>
              <w:t xml:space="preserve">Updated with midterm feedback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S5</w:t>
            </w:r>
          </w:p>
        </w:tc>
        <w:tc>
          <w:tcPr/>
          <w:p>
            <w:pPr>
              <w:pStyle w:val="Compact"/>
            </w:pPr>
            <w:r>
              <w:t xml:space="preserve">Asset list and protection scheme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Complete</w:t>
            </w:r>
            <w:r>
              <w:t xml:space="preserve">: lifecycle and C/I/I+ for every asset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S6</w:t>
            </w:r>
          </w:p>
        </w:tc>
        <w:tc>
          <w:tcPr/>
          <w:p>
            <w:pPr>
              <w:pStyle w:val="Compact"/>
            </w:pPr>
            <w:r>
              <w:t xml:space="preserve">Authentication, identification, device/version binding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S7</w:t>
            </w:r>
          </w:p>
        </w:tc>
        <w:tc>
          <w:tcPr/>
          <w:p>
            <w:pPr>
              <w:pStyle w:val="Compact"/>
            </w:pPr>
            <w:r>
              <w:t xml:space="preserve">Data security + security shell matrix</w:t>
            </w:r>
          </w:p>
        </w:tc>
        <w:tc>
          <w:tcPr/>
          <w:p>
            <w:pPr>
              <w:pStyle w:val="Compact"/>
            </w:pPr>
            <w:r>
              <w:t xml:space="preserve">Updated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S8</w:t>
            </w:r>
          </w:p>
        </w:tc>
        <w:tc>
          <w:tcPr/>
          <w:p>
            <w:pPr>
              <w:pStyle w:val="Compact"/>
            </w:pPr>
            <w:r>
              <w:t xml:space="preserve">Cryptographic methods, key lifecycle and hierarchy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S9</w:t>
            </w:r>
          </w:p>
        </w:tc>
        <w:tc>
          <w:tcPr/>
          <w:p>
            <w:pPr>
              <w:pStyle w:val="Compact"/>
            </w:pPr>
            <w:r>
              <w:t xml:space="preserve">Code hardening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Advanced</w:t>
            </w:r>
            <w:r>
              <w:t xml:space="preserve"> </w:t>
            </w:r>
            <w:r>
              <w:t xml:space="preserve">(including obfuscation)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S10</w:t>
            </w:r>
          </w:p>
        </w:tc>
        <w:tc>
          <w:tcPr/>
          <w:p>
            <w:pPr>
              <w:pStyle w:val="Compact"/>
            </w:pPr>
            <w:r>
              <w:t xml:space="preserve">RASP + response policy</w:t>
            </w:r>
          </w:p>
        </w:tc>
        <w:tc>
          <w:tcPr/>
          <w:p>
            <w:pPr>
              <w:pStyle w:val="Compact"/>
            </w:pPr>
            <w:r>
              <w:t xml:space="preserve">Updated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S11</w:t>
            </w:r>
          </w:p>
        </w:tc>
        <w:tc>
          <w:tcPr/>
          <w:p>
            <w:pPr>
              <w:pStyle w:val="Compact"/>
            </w:pPr>
            <w:r>
              <w:t xml:space="preserve">Secure communication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S12</w:t>
            </w:r>
          </w:p>
        </w:tc>
        <w:tc>
          <w:tcPr/>
          <w:p>
            <w:pPr>
              <w:pStyle w:val="Compact"/>
            </w:pPr>
            <w:r>
              <w:t xml:space="preserve">Reporting and logging policy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S13</w:t>
            </w:r>
          </w:p>
        </w:tc>
        <w:tc>
          <w:tcPr/>
          <w:p>
            <w:pPr>
              <w:pStyle w:val="Compact"/>
            </w:pPr>
            <w:r>
              <w:t xml:space="preserve">Development process, SBOM, change management</w:t>
            </w:r>
          </w:p>
        </w:tc>
        <w:tc>
          <w:tcPr/>
          <w:p>
            <w:pPr>
              <w:pStyle w:val="Compact"/>
            </w:pPr>
            <w:r>
              <w:t xml:space="preserve">Updated SBOM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S14</w:t>
            </w:r>
          </w:p>
        </w:tc>
        <w:tc>
          <w:tcPr/>
          <w:p>
            <w:pPr>
              <w:pStyle w:val="Compact"/>
            </w:pPr>
            <w:r>
              <w:t xml:space="preserve">Assumptions and deferred requirements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S15</w:t>
            </w:r>
          </w:p>
        </w:tc>
        <w:tc>
          <w:tcPr/>
          <w:p>
            <w:pPr>
              <w:pStyle w:val="Compact"/>
            </w:pPr>
            <w:r>
              <w:t xml:space="preserve">Build, signing and deployment pipeline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S16</w:t>
            </w:r>
          </w:p>
        </w:tc>
        <w:tc>
          <w:tcPr/>
          <w:p>
            <w:pPr>
              <w:pStyle w:val="Compact"/>
            </w:pPr>
            <w:r>
              <w:t xml:space="preserve">Security testing and verification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Results</w:t>
            </w:r>
            <w:r>
              <w:t xml:space="preserve"> </w:t>
            </w:r>
            <w:r>
              <w:t xml:space="preserve">(not a plan)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S17</w:t>
            </w:r>
          </w:p>
        </w:tc>
        <w:tc>
          <w:tcPr/>
          <w:p>
            <w:pPr>
              <w:pStyle w:val="Compact"/>
            </w:pPr>
            <w:r>
              <w:t xml:space="preserve">Requirement compliance matrix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Start w:id="28" w:name="preparation-checklist-weeks-914"/>
    <w:p>
      <w:pPr>
        <w:pStyle w:val="Heading2"/>
      </w:pPr>
      <w:r>
        <w:t xml:space="preserve">2. Preparation checklist (weeks 9–14)</w:t>
      </w:r>
    </w:p>
    <w:p>
      <w:pPr>
        <w:pStyle w:val="BlockText"/>
      </w:pPr>
      <w:r>
        <w:rPr>
          <w:b/>
          <w:bCs/>
        </w:rPr>
        <w:t xml:space="preserve">Weeks 9 and 14 — Advanced code hardening (S9, S15)</w:t>
      </w:r>
    </w:p>
    <w:p>
      <w:pPr>
        <w:pStyle w:val="Compact"/>
        <w:numPr>
          <w:ilvl w:val="0"/>
          <w:numId w:val="1001"/>
        </w:numPr>
      </w:pPr>
      <w:r>
        <w:t xml:space="preserve">Which functions obfuscation was applied to and why; a before/after cost table (time, size).</w:t>
      </w:r>
    </w:p>
    <w:p>
      <w:pPr>
        <w:pStyle w:val="Compact"/>
        <w:numPr>
          <w:ilvl w:val="0"/>
          <w:numId w:val="1002"/>
        </w:numPr>
      </w:pPr>
      <w:r>
        <w:t xml:space="preserve">Obfuscation and signing steps in the build pipeline; version identity and digest values.</w:t>
      </w:r>
    </w:p>
    <w:p>
      <w:pPr>
        <w:pStyle w:val="Compact"/>
        <w:numPr>
          <w:ilvl w:val="0"/>
          <w:numId w:val="1003"/>
        </w:numPr>
      </w:pPr>
      <w:r>
        <w:t xml:space="preserve">Metrics for before and after obfuscation (ratio of meaningful names, count of plaintext sensitive strings).</w:t>
      </w:r>
    </w:p>
    <w:p>
      <w:pPr>
        <w:pStyle w:val="FirstParagraph"/>
      </w:pPr>
      <w:r>
        <w:drawing>
          <wp:inline>
            <wp:extent cx="5759999" cy="3638557"/>
            <wp:effectExtent b="0" l="0" r="0" t="0"/>
            <wp:docPr descr="Security guide map" title="" id="26" name="Picture"/>
            <a:graphic>
              <a:graphicData uri="http://schemas.openxmlformats.org/drawingml/2006/picture">
                <pic:pic>
                  <pic:nvPicPr>
                    <pic:cNvPr descr="h15-02-kilavuz-haritasi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3638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Week 10 — Cryptography and PKI (S8, S11)</w:t>
      </w:r>
    </w:p>
    <w:p>
      <w:pPr>
        <w:pStyle w:val="Compact"/>
        <w:numPr>
          <w:ilvl w:val="0"/>
          <w:numId w:val="1004"/>
        </w:numPr>
      </w:pPr>
      <w:r>
        <w:t xml:space="preserve">Algorithm inventory: purpose, key length, mode, standard, library.</w:t>
      </w:r>
    </w:p>
    <w:p>
      <w:pPr>
        <w:pStyle w:val="Compact"/>
        <w:numPr>
          <w:ilvl w:val="0"/>
          <w:numId w:val="1005"/>
        </w:numPr>
      </w:pPr>
      <w:r>
        <w:t xml:space="preserve">Key lifecycle table: generation, storage, crypto-period, renewal, destruction.</w:t>
      </w:r>
    </w:p>
    <w:p>
      <w:pPr>
        <w:pStyle w:val="Compact"/>
        <w:numPr>
          <w:ilvl w:val="0"/>
          <w:numId w:val="1006"/>
        </w:numPr>
      </w:pPr>
      <w:r>
        <w:t xml:space="preserve">TLS validation; SPKI pinning and a backup pin if used; signature verification on the update file.</w:t>
      </w:r>
    </w:p>
    <w:p>
      <w:pPr>
        <w:pStyle w:val="BlockText"/>
      </w:pPr>
      <w:r>
        <w:rPr>
          <w:b/>
          <w:bCs/>
        </w:rPr>
        <w:t xml:space="preserve">Week 11 — Key protection (S8)</w:t>
      </w:r>
    </w:p>
    <w:p>
      <w:pPr>
        <w:pStyle w:val="Compact"/>
        <w:numPr>
          <w:ilvl w:val="0"/>
          <w:numId w:val="1007"/>
        </w:numPr>
      </w:pPr>
      <w:r>
        <w:t xml:space="preserve">Protection method and justification for at least one sensitive asset (e.g., device binding, layered</w:t>
      </w:r>
      <w:r>
        <w:t xml:space="preserve"> </w:t>
      </w:r>
      <w:r>
        <w:t xml:space="preserve">protection); if not used, the justification for why not.</w:t>
      </w:r>
    </w:p>
    <w:p>
      <w:pPr>
        <w:pStyle w:val="BlockText"/>
      </w:pPr>
      <w:r>
        <w:rPr>
          <w:b/>
          <w:bCs/>
        </w:rPr>
        <w:t xml:space="preserve">Week 12 — Testing and assessment (S16)</w:t>
      </w:r>
    </w:p>
    <w:p>
      <w:pPr>
        <w:pStyle w:val="Compact"/>
        <w:numPr>
          <w:ilvl w:val="0"/>
          <w:numId w:val="1008"/>
        </w:numPr>
      </w:pPr>
      <w:r>
        <w:t xml:space="preserve">Test plan and</w:t>
      </w:r>
      <w:r>
        <w:t xml:space="preserve"> </w:t>
      </w:r>
      <w:r>
        <w:rPr>
          <w:b/>
          <w:bCs/>
        </w:rPr>
        <w:t xml:space="preserve">results</w:t>
      </w:r>
      <w:r>
        <w:t xml:space="preserve">: for each test, the purpose, method, expected and observed result.</w:t>
      </w:r>
    </w:p>
    <w:p>
      <w:pPr>
        <w:pStyle w:val="Compact"/>
        <w:numPr>
          <w:ilvl w:val="0"/>
          <w:numId w:val="1009"/>
        </w:numPr>
      </w:pPr>
      <w:r>
        <w:t xml:space="preserve">Unit tests (for cryptography and protection functions) and a continuous integration record.</w:t>
      </w:r>
    </w:p>
    <w:p>
      <w:pPr>
        <w:pStyle w:val="Compact"/>
        <w:numPr>
          <w:ilvl w:val="0"/>
          <w:numId w:val="1010"/>
        </w:numPr>
      </w:pPr>
      <w:r>
        <w:t xml:space="preserve">A finding–action list for the midterm feedback.</w:t>
      </w:r>
    </w:p>
    <w:p>
      <w:pPr>
        <w:pStyle w:val="BlockText"/>
      </w:pPr>
      <w:r>
        <w:rPr>
          <w:b/>
          <w:bCs/>
        </w:rPr>
        <w:t xml:space="preserve">Week 13 — Requirements (S14, S17)</w:t>
      </w:r>
    </w:p>
    <w:p>
      <w:pPr>
        <w:pStyle w:val="Compact"/>
        <w:numPr>
          <w:ilvl w:val="0"/>
          <w:numId w:val="1011"/>
        </w:numPr>
      </w:pPr>
      <w:r>
        <w:t xml:space="preserve">Compliance matrix: for every implemented requirement, its status, section, verification and evidence.</w:t>
      </w:r>
    </w:p>
    <w:p>
      <w:pPr>
        <w:pStyle w:val="Compact"/>
        <w:numPr>
          <w:ilvl w:val="0"/>
          <w:numId w:val="1012"/>
        </w:numPr>
      </w:pPr>
      <w:r>
        <w:t xml:space="preserve">Assumptions and deferred requirements: to whom, why, how.</w:t>
      </w:r>
    </w:p>
    <w:p>
      <w:r>
        <w:pict>
          <v:rect style="width:0;height:1.5pt" o:hralign="center" o:hrstd="t" o:hr="t"/>
        </w:pict>
      </w:r>
    </w:p>
    <w:bookmarkEnd w:id="28"/>
    <w:bookmarkStart w:id="34" w:name="demonstration-suggested-flow"/>
    <w:p>
      <w:pPr>
        <w:pStyle w:val="Heading2"/>
      </w:pPr>
      <w:r>
        <w:t xml:space="preserve">3. Demonstration: suggested flow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Summary:</w:t>
      </w:r>
      <w:r>
        <w:t xml:space="preserve"> </w:t>
      </w:r>
      <w:r>
        <w:t xml:space="preserve">Product, architecture, and the three most critical assets (a single diagram).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Since the midterm:</w:t>
      </w:r>
      <w:r>
        <w:t xml:space="preserve"> </w:t>
      </w:r>
      <w:r>
        <w:t xml:space="preserve">The feedback received and how it was addressed (finding–action list).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Live demonstration:</w:t>
      </w:r>
      <w:r>
        <w:t xml:space="preserve"> </w:t>
      </w:r>
      <w:r>
        <w:t xml:space="preserve">Run the protected build; show cryptography, secure communication and at least one</w:t>
      </w:r>
      <w:r>
        <w:t xml:space="preserve"> </w:t>
      </w:r>
      <w:r>
        <w:t xml:space="preserve">protection layer</w:t>
      </w:r>
      <w:r>
        <w:t xml:space="preserve"> </w:t>
      </w:r>
      <w:r>
        <w:rPr>
          <w:b/>
          <w:bCs/>
        </w:rPr>
        <w:t xml:space="preserve">working live</w:t>
      </w:r>
      <w:r>
        <w:t xml:space="preserve"> </w:t>
      </w:r>
      <w:r>
        <w:t xml:space="preserve">(e.g., a tampered file or an update with a broken signature being rejected).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Evidence:</w:t>
      </w:r>
      <w:r>
        <w:t xml:space="preserve"> </w:t>
      </w:r>
      <w:r>
        <w:t xml:space="preserve">The tests, the protection table, the SBOM and the compliance matrix themselves;</w:t>
      </w:r>
      <w:r>
        <w:t xml:space="preserve"> </w:t>
      </w:r>
      <w:r>
        <w:t xml:space="preserve">“we ran this</w:t>
      </w:r>
      <w:r>
        <w:t xml:space="preserve"> </w:t>
      </w:r>
      <w:r>
        <w:t xml:space="preserve">command and got this output.”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Remaining risk:</w:t>
      </w:r>
      <w:r>
        <w:t xml:space="preserve"> </w:t>
      </w:r>
      <w:r>
        <w:t xml:space="preserve">What did you deliberately scope out, what could you not meet, and why?</w:t>
      </w:r>
    </w:p>
    <w:p>
      <w:pPr>
        <w:pStyle w:val="FirstParagraph"/>
      </w:pPr>
      <w:r>
        <w:drawing>
          <wp:inline>
            <wp:extent cx="5759999" cy="2283460"/>
            <wp:effectExtent b="0" l="0" r="0" t="0"/>
            <wp:docPr descr="Final demonstration" title="" id="30" name="Picture"/>
            <a:graphic>
              <a:graphicData uri="http://schemas.openxmlformats.org/drawingml/2006/picture">
                <pic:pic>
                  <pic:nvPicPr>
                    <pic:cNvPr descr="h15-03-gosterim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32" w:name="X46943baf8a3f49bee48595db689bf5d7997106b"/>
    <w:p>
      <w:pPr>
        <w:pStyle w:val="Heading3"/>
      </w:pPr>
      <w:r>
        <w:t xml:space="preserve">Sample questions you may be asked during the demonstration</w:t>
      </w:r>
    </w:p>
    <w:p>
      <w:pPr>
        <w:pStyle w:val="Compact"/>
        <w:numPr>
          <w:ilvl w:val="0"/>
          <w:numId w:val="1014"/>
        </w:numPr>
      </w:pPr>
      <w:r>
        <w:t xml:space="preserve">Which key is this key derived from, where does it live, when is it deleted?</w:t>
      </w:r>
    </w:p>
    <w:p>
      <w:pPr>
        <w:pStyle w:val="Compact"/>
        <w:numPr>
          <w:ilvl w:val="0"/>
          <w:numId w:val="1014"/>
        </w:numPr>
      </w:pPr>
      <w:r>
        <w:t xml:space="preserve">How do you validate your certificate chain? Where is hostname verification performed?</w:t>
      </w:r>
    </w:p>
    <w:p>
      <w:pPr>
        <w:pStyle w:val="Compact"/>
        <w:numPr>
          <w:ilvl w:val="0"/>
          <w:numId w:val="1014"/>
        </w:numPr>
      </w:pPr>
      <w:r>
        <w:t xml:space="preserve">What happens if your signature verification fails? Can an old but validly signed version still be installed?</w:t>
      </w:r>
    </w:p>
    <w:p>
      <w:pPr>
        <w:pStyle w:val="Compact"/>
        <w:numPr>
          <w:ilvl w:val="0"/>
          <w:numId w:val="1014"/>
        </w:numPr>
      </w:pPr>
      <w:r>
        <w:t xml:space="preserve">Did you measure the cost of obfuscation? Which functions did you obfuscate, and why?</w:t>
      </w:r>
    </w:p>
    <w:p>
      <w:pPr>
        <w:pStyle w:val="Compact"/>
        <w:numPr>
          <w:ilvl w:val="0"/>
          <w:numId w:val="1014"/>
        </w:numPr>
      </w:pPr>
      <w:r>
        <w:t xml:space="preserve">Where is the evidence for this row in your compliance matrix that you marked</w:t>
      </w:r>
      <w:r>
        <w:t xml:space="preserve"> </w:t>
      </w:r>
      <w:r>
        <w:t xml:space="preserve">“met”</w:t>
      </w:r>
      <w:r>
        <w:t xml:space="preserve">?</w:t>
      </w:r>
    </w:p>
    <w:p>
      <w:pPr>
        <w:pStyle w:val="Compact"/>
        <w:numPr>
          <w:ilvl w:val="0"/>
          <w:numId w:val="1014"/>
        </w:numPr>
      </w:pPr>
      <w:r>
        <w:t xml:space="preserve">Which requirement did you defer, and how will the other party meet it?</w:t>
      </w:r>
    </w:p>
    <w:bookmarkEnd w:id="32"/>
    <w:bookmarkStart w:id="33" w:name="common-mistakes"/>
    <w:p>
      <w:pPr>
        <w:pStyle w:val="Heading3"/>
      </w:pPr>
      <w:r>
        <w:t xml:space="preserve">Common mistakes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Mistake</w:t>
            </w:r>
          </w:p>
        </w:tc>
        <w:tc>
          <w:tcPr/>
          <w:p>
            <w:pPr>
              <w:pStyle w:val="Compact"/>
            </w:pPr>
            <w:r>
              <w:t xml:space="preserve">Why is it a problem?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There is a test plan but no results</w:t>
            </w:r>
          </w:p>
        </w:tc>
        <w:tc>
          <w:tcPr/>
          <w:p>
            <w:pPr>
              <w:pStyle w:val="Compact"/>
            </w:pPr>
            <w:r>
              <w:t xml:space="preserve">At the final checkpoint, S16’s</w:t>
            </w:r>
            <w:r>
              <w:t xml:space="preserve"> </w:t>
            </w:r>
            <w:r>
              <w:rPr>
                <w:b/>
                <w:bCs/>
              </w:rPr>
              <w:t xml:space="preserve">results</w:t>
            </w:r>
            <w:r>
              <w:t xml:space="preserve"> </w:t>
            </w:r>
            <w:r>
              <w:t xml:space="preserve">are expected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“Met”</w:t>
            </w:r>
            <w:r>
              <w:t xml:space="preserve"> </w:t>
            </w:r>
            <w:r>
              <w:t xml:space="preserve">with no evidence in the compliance matrix</w:t>
            </w:r>
          </w:p>
        </w:tc>
        <w:tc>
          <w:tcPr/>
          <w:p>
            <w:pPr>
              <w:pStyle w:val="Compact"/>
            </w:pPr>
            <w:r>
              <w:t xml:space="preserve">Counted as unmet in the assessor’s eyes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version mismatch between the guide and the code</w:t>
            </w:r>
          </w:p>
        </w:tc>
        <w:tc>
          <w:tcPr/>
          <w:p>
            <w:pPr>
              <w:pStyle w:val="Compact"/>
            </w:pPr>
            <w:r>
              <w:t xml:space="preserve">The product being assessed becomes ambiguous; version identity and digest values must be consistent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empty remaining-risk section</w:t>
            </w:r>
          </w:p>
        </w:tc>
        <w:tc>
          <w:tcPr/>
          <w:p>
            <w:pPr>
              <w:pStyle w:val="Compact"/>
            </w:pPr>
            <w:r>
              <w:t xml:space="preserve">No product has zero remaining risk; an empty section means an incomplete analysis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Ignoring the midterm feedback</w:t>
            </w:r>
          </w:p>
        </w:tc>
        <w:tc>
          <w:tcPr/>
          <w:p>
            <w:pPr>
              <w:pStyle w:val="Compact"/>
            </w:pPr>
            <w:r>
              <w:t xml:space="preserve">The finding–action loop is part of the process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 secrets or personal data in the repository</w:t>
            </w:r>
          </w:p>
        </w:tc>
        <w:tc>
          <w:tcPr/>
          <w:p>
            <w:pPr>
              <w:pStyle w:val="Compact"/>
            </w:pPr>
            <w:r>
              <w:t xml:space="preserve">A serious security mistake; all values must be synthetic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End w:id="34"/>
    <w:bookmarkStart w:id="38" w:name="academic-integrity"/>
    <w:p>
      <w:pPr>
        <w:pStyle w:val="Heading2"/>
      </w:pPr>
      <w:r>
        <w:t xml:space="preserve">4. Academic integrity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“Academic Integrity”</w:t>
      </w:r>
      <w:r>
        <w:t xml:space="preserve"> </w:t>
      </w:r>
      <w:r>
        <w:t xml:space="preserve">section of the syllabus applies to the project as well. You must be able to explain every</w:t>
      </w:r>
      <w:r>
        <w:t xml:space="preserve"> </w:t>
      </w:r>
      <w:r>
        <w:t xml:space="preserve">line you submit; any member of the team may be asked a question during the demonstration. If you used someone else’s</w:t>
      </w:r>
      <w:r>
        <w:t xml:space="preserve"> </w:t>
      </w:r>
      <w:r>
        <w:t xml:space="preserve">code or text, cite the source.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S16: results, not a plan" title="" id="36" name="Picture"/>
            <a:graphic>
              <a:graphicData uri="http://schemas.openxmlformats.org/drawingml/2006/picture">
                <pic:pic>
                  <pic:nvPicPr>
                    <pic:cNvPr descr="h15-04-s1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8"/>
    <w:bookmarkStart w:id="39" w:name="at-the-end-of-the-term"/>
    <w:p>
      <w:pPr>
        <w:pStyle w:val="Heading2"/>
      </w:pPr>
      <w:r>
        <w:t xml:space="preserve">5. At the end of the term</w:t>
      </w:r>
    </w:p>
    <w:p>
      <w:pPr>
        <w:pStyle w:val="Compact"/>
        <w:numPr>
          <w:ilvl w:val="0"/>
          <w:numId w:val="1015"/>
        </w:numPr>
      </w:pPr>
      <w:r>
        <w:t xml:space="preserve">Your security guide is a scaled-down model of the documentation that certified products carry; you can use it as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portfolio</w:t>
      </w:r>
      <w:r>
        <w:t xml:space="preserve"> </w:t>
      </w:r>
      <w:r>
        <w:t xml:space="preserve">item in job applications (make sure it contains no confidential information).</w:t>
      </w:r>
    </w:p>
    <w:p>
      <w:pPr>
        <w:pStyle w:val="Compact"/>
        <w:numPr>
          <w:ilvl w:val="0"/>
          <w:numId w:val="1015"/>
        </w:numPr>
      </w:pPr>
      <w:r>
        <w:t xml:space="preserve">Quiz-2 is held in the final exam period; its scope is weeks 9–14 (see the Week 16 page).</w:t>
      </w:r>
    </w:p>
    <w:bookmarkEnd w:id="39"/>
    <w:bookmarkEnd w:id="4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9" Target="media/rId2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2026-09-23T17:04:55Z</dcterms:created>
  <dcterms:modified xsi:type="dcterms:W3CDTF">2026-09-23T17:04:55Z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15 — Final Project Demonstrations</vt:lpwstr>
  </property>
</Properties>
</file>