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55.png" ContentType="image/png"/>
  <Override PartName="/word/media/rId123.png" ContentType="image/png"/>
  <Override PartName="/word/media/rId44.png" ContentType="image/png"/>
  <Override PartName="/word/media/rId41.png" ContentType="image/png"/>
  <Override PartName="/word/media/rId69.png" ContentType="image/png"/>
  <Override PartName="/word/media/rId66.png" ContentType="image/png"/>
  <Override PartName="/word/media/rId81.png" ContentType="image/png"/>
  <Override PartName="/word/media/rId94.png" ContentType="image/png"/>
  <Override PartName="/word/media/rId106.png" ContentType="image/png"/>
  <Override PartName="/word/media/rId120.png" ContentType="image/png"/>
  <Override PartName="/word/media/rId131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4" w:name="week-13-security-requirements"/>
    <w:p>
      <w:pPr>
        <w:pStyle w:val="Heading1"/>
      </w:pPr>
      <w:r>
        <w:t xml:space="preserve">Week 13 — Security Requirements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11.12.2026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Learning outcomes</w:t>
            </w:r>
          </w:p>
        </w:tc>
        <w:tc>
          <w:tcPr/>
          <w:p>
            <w:pPr>
              <w:pStyle w:val="Compact"/>
            </w:pPr>
            <w:r>
              <w:t xml:space="preserve">LO.5, 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Duration</w:t>
            </w:r>
          </w:p>
        </w:tc>
        <w:tc>
          <w:tcPr/>
          <w:p>
            <w:pPr>
              <w:pStyle w:val="Compact"/>
            </w:pPr>
            <w:r>
              <w:t xml:space="preserve">3 hours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Prerequisites</w:t>
            </w:r>
          </w:p>
        </w:tc>
        <w:tc>
          <w:tcPr/>
          <w:p>
            <w:pPr>
              <w:pStyle w:val="Compact"/>
            </w:pPr>
            <w:r>
              <w:t xml:space="preserve">Asset, threat and countermeasure from Week 1; evaluation and evidence concepts from Week 12; what the S sections of the term project are for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Labs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VerbatimChar"/>
                </w:rPr>
                <w:t xml:space="preserve">code/week-13</w:t>
              </w:r>
            </w:hyperlink>
            <w:r>
              <w:t xml:space="preserve"> </w:t>
            </w:r>
            <w:r>
              <w:t xml:space="preserve">— 2 demos; build once in the</w:t>
            </w:r>
            <w:r>
              <w:t xml:space="preserve"> </w:t>
            </w:r>
            <w:r>
              <w:rPr>
                <w:rStyle w:val="VerbatimChar"/>
              </w:rPr>
              <w:t xml:space="preserve">code</w:t>
            </w:r>
            <w:r>
              <w:t xml:space="preserve"> </w:t>
            </w:r>
            <w:r>
              <w:t xml:space="preserve">folder, then run from</w:t>
            </w:r>
            <w:r>
              <w:t xml:space="preserve"> </w:t>
            </w:r>
            <w:r>
              <w:rPr>
                <w:rStyle w:val="VerbatimChar"/>
              </w:rPr>
              <w:t xml:space="preserve">bin/linux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bin\windows</w:t>
            </w:r>
            <w:r>
              <w:t xml:space="preserve"> </w:t>
            </w:r>
            <w:r>
              <w:t xml:space="preserve">on Windows)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This week’s working demo</w:t>
      </w:r>
    </w:p>
    <w:p>
      <w:pPr>
        <w:pStyle w:val="BlockText"/>
      </w:pPr>
      <w:r>
        <w:rPr>
          <w:rStyle w:val="VerbatimChar"/>
        </w:rPr>
        <w:t xml:space="preserve">code/week-13/01-uyum-matrisi</w:t>
      </w:r>
      <w:r>
        <w:t xml:space="preserve"> </w:t>
      </w:r>
      <w:r>
        <w:t xml:space="preserve">— Compliance matrix validator: flags</w:t>
      </w:r>
      <w:r>
        <w:t xml:space="preserve"> </w:t>
      </w:r>
      <w:r>
        <w:t xml:space="preserve">“met”</w:t>
      </w:r>
      <w:r>
        <w:t xml:space="preserve"> </w:t>
      </w:r>
      <w:r>
        <w:t xml:space="preserve">rows with no evidence as findings (S17).</w:t>
      </w:r>
      <w:r>
        <w:t xml:space="preserve"> </w:t>
      </w:r>
      <w:r>
        <w:t xml:space="preserve">·</w:t>
      </w:r>
      <w:r>
        <w:t xml:space="preserve"> </w:t>
      </w:r>
      <w:r>
        <w:rPr>
          <w:rStyle w:val="VerbatimChar"/>
        </w:rPr>
        <w:t xml:space="preserve">code/week-13/02-gereksinim-kalite</w:t>
      </w:r>
      <w:r>
        <w:t xml:space="preserve"> </w:t>
      </w:r>
      <w:r>
        <w:t xml:space="preserve">— Requirement quality checker: flags vague/unverifiable requirements.</w:t>
      </w:r>
    </w:p>
    <w:p>
      <w:pPr>
        <w:pStyle w:val="BlockText"/>
      </w:pPr>
      <w:r>
        <w:t xml:space="preserve">Run it: build once in the</w:t>
      </w:r>
      <w:r>
        <w:t xml:space="preserve"> </w:t>
      </w:r>
      <w:r>
        <w:rPr>
          <w:rStyle w:val="VerbatimChar"/>
        </w:rPr>
        <w:t xml:space="preserve">code</w:t>
      </w:r>
      <w:r>
        <w:t xml:space="preserve"> </w:t>
      </w:r>
      <w:r>
        <w:t xml:space="preserve">folder with</w:t>
      </w:r>
      <w:r>
        <w:t xml:space="preserve"> </w:t>
      </w:r>
      <w:r>
        <w:rPr>
          <w:rStyle w:val="VerbatimChar"/>
        </w:rPr>
        <w:t xml:space="preserve">./build.sh</w:t>
      </w:r>
      <w:r>
        <w:t xml:space="preserve"> </w:t>
      </w:r>
      <w:r>
        <w:t xml:space="preserve">(</w:t>
      </w:r>
      <w:r>
        <w:rPr>
          <w:rStyle w:val="VerbatimChar"/>
        </w:rPr>
        <w:t xml:space="preserve">.\build.ps1</w:t>
      </w:r>
      <w:r>
        <w:t xml:space="preserve"> </w:t>
      </w:r>
      <w:r>
        <w:t xml:space="preserve">on Windows), then from</w:t>
      </w:r>
      <w:r>
        <w:t xml:space="preserve"> </w:t>
      </w:r>
      <w:r>
        <w:rPr>
          <w:rStyle w:val="VerbatimChar"/>
        </w:rPr>
        <w:t xml:space="preserve">bin/linux</w:t>
      </w:r>
      <w:r>
        <w:t xml:space="preserve"> </w:t>
      </w:r>
      <w:r>
        <w:t xml:space="preserve">(</w:t>
      </w:r>
      <w:r>
        <w:rPr>
          <w:rStyle w:val="VerbatimChar"/>
        </w:rPr>
        <w:t xml:space="preserve">bin\windows</w:t>
      </w:r>
      <w:r>
        <w:t xml:space="preserve"> </w:t>
      </w:r>
      <w:r>
        <w:t xml:space="preserve">on Windows) inside the demo folder. Step-by-step commands are in the box below. Fully synthetic</w:t>
      </w:r>
      <w:r>
        <w:t xml:space="preserve"> </w:t>
      </w:r>
      <w:r>
        <w:t xml:space="preserve">and safe; it does not harm the student’s computer.</w:t>
      </w:r>
    </w:p>
    <w:p>
      <w:pPr>
        <w:pStyle w:val="BlockText"/>
      </w:pPr>
      <w:r>
        <w:rPr>
          <w:b/>
          <w:bCs/>
        </w:rPr>
        <w:t xml:space="preserve">Run the demo yourself — step by step (copy-paste)</w:t>
      </w:r>
    </w:p>
    <w:p>
      <w:pPr>
        <w:pStyle w:val="BlockText"/>
      </w:pPr>
      <w:r>
        <w:t xml:space="preserve">The initial build is explained in</w:t>
      </w:r>
      <w:r>
        <w:t xml:space="preserve"> </w:t>
      </w:r>
      <w:r>
        <w:rPr>
          <w:rStyle w:val="VerbatimChar"/>
        </w:rPr>
        <w:t xml:space="preserve">code/README.en.md</w:t>
      </w:r>
      <w:r>
        <w:t xml:space="preserve">. From the</w:t>
      </w:r>
      <w:r>
        <w:t xml:space="preserve"> </w:t>
      </w:r>
      <w:r>
        <w:rPr>
          <w:rStyle w:val="VerbatimChar"/>
          <w:b/>
          <w:bCs/>
        </w:rPr>
        <w:t xml:space="preserve">code</w:t>
      </w:r>
      <w:r>
        <w:t xml:space="preserve"> </w:t>
      </w:r>
      <w:r>
        <w:t xml:space="preserve">folder:</w:t>
      </w:r>
    </w:p>
    <w:p>
      <w:pPr>
        <w:pStyle w:val="SourceCode"/>
      </w:pPr>
      <w:r>
        <w:rPr>
          <w:rStyle w:val="CommentTok"/>
        </w:rPr>
        <w:t xml:space="preserve"># Windows (PowerShell)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\build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week-13\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uyum-matrisi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\bin\windows\uyum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exe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\</w:t>
      </w:r>
      <w:r>
        <w:rPr>
          <w:rStyle w:val="DecValTok"/>
        </w:rPr>
        <w:t xml:space="preserve">02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gereksinim-kalite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\bin\windows\gereksinim_kalite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exe</w:t>
      </w:r>
    </w:p>
    <w:p>
      <w:pPr>
        <w:pStyle w:val="SourceCode"/>
      </w:pPr>
      <w:r>
        <w:rPr>
          <w:rStyle w:val="CommentTok"/>
        </w:rPr>
        <w:t xml:space="preserve"># WSL / Linux</w:t>
      </w:r>
      <w:r>
        <w:br/>
      </w:r>
      <w:r>
        <w:rPr>
          <w:rStyle w:val="ExtensionTok"/>
        </w:rPr>
        <w:t xml:space="preserve">./build.sh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week-13/01-uyum-matrisi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./bin/linux/uyum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../02-gereksinim-kalite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./bin/linux/gereksinim_kalite</w:t>
      </w:r>
    </w:p>
    <w:p>
      <w:pPr>
        <w:pStyle w:val="BlockText"/>
      </w:pPr>
      <w:r>
        <w:rPr>
          <w:b/>
          <w:bCs/>
        </w:rPr>
        <w:t xml:space="preserve">Expected output:</w:t>
      </w:r>
      <w:r>
        <w:t xml:space="preserve"> </w:t>
      </w:r>
      <w:r>
        <w:t xml:space="preserve">The first demo reads a</w:t>
      </w:r>
      <w:r>
        <w:t xml:space="preserve"> </w:t>
      </w:r>
      <w:r>
        <w:rPr>
          <w:b/>
          <w:bCs/>
        </w:rPr>
        <w:t xml:space="preserve">compliance matrix</w:t>
      </w:r>
      <w:r>
        <w:t xml:space="preserve"> </w:t>
      </w:r>
      <w:r>
        <w:t xml:space="preserve">row by row and flags</w:t>
      </w:r>
      <w:r>
        <w:t xml:space="preserve"> </w:t>
      </w:r>
      <w:r>
        <w:rPr>
          <w:b/>
          <w:bCs/>
        </w:rPr>
        <w:t xml:space="preserve">“met”</w:t>
      </w:r>
      <w:r>
        <w:t xml:space="preserve"> </w:t>
      </w:r>
      <w:r>
        <w:t xml:space="preserve">rows that</w:t>
      </w:r>
      <w:r>
        <w:t xml:space="preserve"> </w:t>
      </w:r>
      <w:r>
        <w:t xml:space="preserve">have</w:t>
      </w:r>
      <w:r>
        <w:t xml:space="preserve"> </w:t>
      </w:r>
      <w:r>
        <w:rPr>
          <w:b/>
          <w:bCs/>
        </w:rPr>
        <w:t xml:space="preserve">no evidence</w:t>
      </w:r>
      <w:r>
        <w:t xml:space="preserve"> </w:t>
      </w:r>
      <w:r>
        <w:t xml:space="preserve">with a red flag. The second demo scans example requirements; it flags</w:t>
      </w:r>
      <w:r>
        <w:t xml:space="preserve"> </w:t>
      </w:r>
      <w:r>
        <w:rPr>
          <w:b/>
          <w:bCs/>
        </w:rPr>
        <w:t xml:space="preserve">vague/unmeasurable</w:t>
      </w:r>
      <w:r>
        <w:t xml:space="preserve"> </w:t>
      </w:r>
      <w:r>
        <w:t xml:space="preserve">wording such as</w:t>
      </w:r>
      <w:r>
        <w:t xml:space="preserve"> </w:t>
      </w:r>
      <w:r>
        <w:t xml:space="preserve">“should be secure”</w:t>
      </w:r>
      <w:r>
        <w:t xml:space="preserve"> </w:t>
      </w:r>
      <w:r>
        <w:t xml:space="preserve">or</w:t>
      </w:r>
      <w:r>
        <w:t xml:space="preserve"> </w:t>
      </w:r>
      <w:r>
        <w:t xml:space="preserve">“appropriately”</w:t>
      </w:r>
      <w:r>
        <w:t xml:space="preserve"> </w:t>
      </w:r>
      <w:r>
        <w:t xml:space="preserve">as</w:t>
      </w:r>
      <w:r>
        <w:t xml:space="preserve"> </w:t>
      </w:r>
      <w:r>
        <w:rPr>
          <w:b/>
          <w:bCs/>
        </w:rPr>
        <w:t xml:space="preserve">WEAK</w:t>
      </w:r>
      <w:r>
        <w:t xml:space="preserve">, and the</w:t>
      </w:r>
      <w:r>
        <w:t xml:space="preserve"> </w:t>
      </w:r>
      <w:r>
        <w:rPr>
          <w:b/>
          <w:bCs/>
        </w:rPr>
        <w:t xml:space="preserve">exit code equals the number of weak</w:t>
      </w:r>
      <w:r>
        <w:rPr>
          <w:b/>
          <w:bCs/>
        </w:rPr>
        <w:t xml:space="preserve"> </w:t>
      </w:r>
      <w:r>
        <w:rPr>
          <w:b/>
          <w:bCs/>
        </w:rPr>
        <w:t xml:space="preserve">requirements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By the end of this week you will be able to</w:t>
      </w:r>
    </w:p>
    <w:p>
      <w:pPr>
        <w:pStyle w:val="Compact"/>
        <w:numPr>
          <w:ilvl w:val="0"/>
          <w:numId w:val="1001"/>
        </w:numPr>
      </w:pPr>
      <w:r>
        <w:t xml:space="preserve">Tell a good</w:t>
      </w:r>
      <w:r>
        <w:t xml:space="preserve"> </w:t>
      </w:r>
      <w:r>
        <w:rPr>
          <w:b/>
          <w:bCs/>
        </w:rPr>
        <w:t xml:space="preserve">security requirement</w:t>
      </w:r>
      <w:r>
        <w:t xml:space="preserve"> </w:t>
      </w:r>
      <w:r>
        <w:t xml:space="preserve">apart from a bad one; build a</w:t>
      </w:r>
      <w:r>
        <w:t xml:space="preserve"> </w:t>
      </w:r>
      <w:r>
        <w:rPr>
          <w:b/>
          <w:bCs/>
        </w:rPr>
        <w:t xml:space="preserve">traceability matrix</w:t>
      </w:r>
      <w:r>
        <w:t xml:space="preserve"> </w:t>
      </w:r>
      <w:r>
        <w:t xml:space="preserve">that links a</w:t>
      </w:r>
      <w:r>
        <w:t xml:space="preserve"> </w:t>
      </w:r>
      <w:r>
        <w:t xml:space="preserve">requirement to design, control, test, and evidence.</w:t>
      </w:r>
    </w:p>
    <w:p>
      <w:pPr>
        <w:pStyle w:val="Compact"/>
        <w:numPr>
          <w:ilvl w:val="0"/>
          <w:numId w:val="1001"/>
        </w:numPr>
      </w:pPr>
      <w:r>
        <w:t xml:space="preserve">Use requirement statuses (</w:t>
      </w:r>
      <w:r>
        <w:rPr>
          <w:b/>
          <w:bCs/>
        </w:rPr>
        <w:t xml:space="preserve">met / deferred / not met</w:t>
      </w:r>
      <w:r>
        <w:t xml:space="preserve">) correctly; write down the requirements that a</w:t>
      </w:r>
      <w:r>
        <w:t xml:space="preserve"> </w:t>
      </w:r>
      <w:r>
        <w:t xml:space="preserve">software component</w:t>
      </w:r>
      <w:r>
        <w:t xml:space="preserve"> </w:t>
      </w:r>
      <w:r>
        <w:rPr>
          <w:b/>
          <w:bCs/>
        </w:rPr>
        <w:t xml:space="preserve">defers</w:t>
      </w:r>
      <w:r>
        <w:t xml:space="preserve"> </w:t>
      </w:r>
      <w:r>
        <w:t xml:space="preserve">to the operating system and to the parent application.</w:t>
      </w:r>
    </w:p>
    <w:p>
      <w:pPr>
        <w:pStyle w:val="Compact"/>
        <w:numPr>
          <w:ilvl w:val="0"/>
          <w:numId w:val="1001"/>
        </w:numPr>
      </w:pPr>
      <w:r>
        <w:t xml:space="preserve">Explain the core concepts of</w:t>
      </w:r>
      <w:r>
        <w:t xml:space="preserve"> </w:t>
      </w:r>
      <w:r>
        <w:rPr>
          <w:b/>
          <w:bCs/>
        </w:rPr>
        <w:t xml:space="preserve">Common Criteria</w:t>
      </w:r>
      <w:r>
        <w:t xml:space="preserve"> </w:t>
      </w:r>
      <w:r>
        <w:t xml:space="preserve">(ISO/IEC 15408) — TOE, ST, PP, SFR, SAR, EAL — and the</w:t>
      </w:r>
      <w:r>
        <w:t xml:space="preserve"> </w:t>
      </w:r>
      <w:r>
        <w:t xml:space="preserve">security levels of</w:t>
      </w:r>
      <w:r>
        <w:t xml:space="preserve"> </w:t>
      </w:r>
      <w:r>
        <w:rPr>
          <w:b/>
          <w:bCs/>
        </w:rPr>
        <w:t xml:space="preserve">FIPS 140-3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Compare what the requirement sets published by ETSI, GSMA, EMVCo, and PCI for mobile and embedded systems</w:t>
      </w:r>
      <w:r>
        <w:t xml:space="preserve"> </w:t>
      </w:r>
      <w:r>
        <w:t xml:space="preserve">ask for.</w:t>
      </w:r>
    </w:p>
    <w:p>
      <w:pPr>
        <w:pStyle w:val="Compact"/>
        <w:numPr>
          <w:ilvl w:val="0"/>
          <w:numId w:val="1001"/>
        </w:numPr>
      </w:pPr>
      <w:r>
        <w:t xml:space="preserve">Using the course’s requirement families, write a</w:t>
      </w:r>
      <w:r>
        <w:t xml:space="preserve"> </w:t>
      </w:r>
      <w:r>
        <w:rPr>
          <w:b/>
          <w:bCs/>
        </w:rPr>
        <w:t xml:space="preserve">compliance matrix</w:t>
      </w:r>
      <w:r>
        <w:t xml:space="preserve"> </w:t>
      </w:r>
      <w:r>
        <w:t xml:space="preserve">(S17) and a</w:t>
      </w:r>
      <w:r>
        <w:t xml:space="preserve"> </w:t>
      </w:r>
      <w:r>
        <w:rPr>
          <w:b/>
          <w:bCs/>
        </w:rPr>
        <w:t xml:space="preserve">deferred requirements</w:t>
      </w:r>
      <w:r>
        <w:t xml:space="preserve"> </w:t>
      </w:r>
      <w:r>
        <w:t xml:space="preserve">section (S14) for your own project.</w:t>
      </w:r>
    </w:p>
    <w:p>
      <w:pPr>
        <w:pStyle w:val="BlockText"/>
      </w:pPr>
      <w:r>
        <w:rPr>
          <w:b/>
          <w:bCs/>
        </w:rPr>
        <w:t xml:space="preserve">Class schedule (timing plan for the instructor)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Time</w:t>
            </w:r>
          </w:p>
        </w:tc>
        <w:tc>
          <w:tcPr/>
          <w:p>
            <w:pPr>
              <w:pStyle w:val="Compact"/>
            </w:pPr>
            <w:r>
              <w:t xml:space="preserve">Section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0:00–0:20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What is a requirement, how do you write a good one?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0:20–0:50</w:t>
            </w:r>
          </w:p>
        </w:tc>
        <w:tc>
          <w:tcPr/>
          <w:p>
            <w:pPr>
              <w:pStyle w:val="Compact"/>
            </w:pPr>
            <w:r>
              <w:t xml:space="preserve">2–3</w:t>
            </w:r>
          </w:p>
        </w:tc>
        <w:tc>
          <w:tcPr/>
          <w:p>
            <w:pPr>
              <w:pStyle w:val="Compact"/>
            </w:pPr>
            <w:r>
              <w:t xml:space="preserve">Traceability from requirement to evidence; the requirement-block pattern and deferred requirements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0:50–1:00</w:t>
            </w:r>
          </w:p>
        </w:tc>
        <w:tc>
          <w:tcPr/>
          <w:p>
            <w:pPr>
              <w:pStyle w:val="Compact"/>
            </w:pPr>
            <w:r>
              <w:t xml:space="preserve">Break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1:00–1:30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Common Criteria: TOE, ST, PP, SFR/SAR, EAL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1:30–1:50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FIPS 140-3 and cryptographic module validation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1:50–2:00</w:t>
            </w:r>
          </w:p>
        </w:tc>
        <w:tc>
          <w:tcPr/>
          <w:p>
            <w:pPr>
              <w:pStyle w:val="Compact"/>
            </w:pPr>
            <w:r>
              <w:t xml:space="preserve">Break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2:00–2:25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ETSI, GSMA, EMVCo, PCI MPoC, OWASP MASVS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2:25–2:50</w:t>
            </w:r>
          </w:p>
        </w:tc>
        <w:tc>
          <w:tcPr/>
          <w:p>
            <w:pPr>
              <w:pStyle w:val="Compact"/>
            </w:pPr>
            <w:r>
              <w:t xml:space="preserve">7–8</w:t>
            </w:r>
          </w:p>
        </w:tc>
        <w:tc>
          <w:tcPr/>
          <w:p>
            <w:pPr>
              <w:pStyle w:val="Compact"/>
            </w:pPr>
            <w:r>
              <w:t xml:space="preserve">Carrying requirements into the plan and asset management; the course’s requirement families —</w:t>
            </w:r>
            <w:r>
              <w:t xml:space="preserve"> </w:t>
            </w:r>
            <w:r>
              <w:rPr>
                <w:b/>
                <w:bCs/>
              </w:rPr>
              <w:t xml:space="preserve">compliance matrix activity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2:50–3:00</w:t>
            </w:r>
          </w:p>
        </w:tc>
        <w:tc>
          <w:tcPr/>
          <w:p>
            <w:pPr>
              <w:pStyle w:val="Compact"/>
            </w:pPr>
            <w:r>
              <w:t xml:space="preserve">9+</w:t>
            </w:r>
          </w:p>
        </w:tc>
        <w:tc>
          <w:tcPr/>
          <w:p>
            <w:pPr>
              <w:pStyle w:val="Compact"/>
            </w:pPr>
            <w:r>
              <w:t xml:space="preserve">Project step (S14, S17), self-check</w:t>
            </w:r>
          </w:p>
        </w:tc>
      </w:tr>
    </w:tbl>
    <w:p>
      <w:pPr>
        <w:pStyle w:val="BlockText"/>
      </w:pPr>
      <w:r>
        <w:rPr>
          <w:b/>
          <w:bCs/>
        </w:rPr>
        <w:t xml:space="preserve">About this week’s sources</w:t>
      </w:r>
    </w:p>
    <w:p>
      <w:pPr>
        <w:pStyle w:val="BlockText"/>
      </w:pPr>
      <w:r>
        <w:t xml:space="preserve">The requirement texts of the card schemes are proprietary to the institution and shared under a non-disclosure</w:t>
      </w:r>
      <w:r>
        <w:t xml:space="preserve"> </w:t>
      </w:r>
      <w:r>
        <w:t xml:space="preserve">agreement. So this week uses</w:t>
      </w:r>
      <w:r>
        <w:t xml:space="preserve"> </w:t>
      </w:r>
      <w:r>
        <w:rPr>
          <w:b/>
          <w:bCs/>
        </w:rPr>
        <w:t xml:space="preserve">open standards</w:t>
      </w:r>
      <w:r>
        <w:t xml:space="preserve"> </w:t>
      </w:r>
      <w:r>
        <w:t xml:space="preserve">(Common Criteria, FIPS 140-3, ETSI EN 303 645, OWASP MASVS) and</w:t>
      </w:r>
      <w:r>
        <w:t xml:space="preserve"> </w:t>
      </w:r>
      <w:r>
        <w:t xml:space="preserve">the course’s own</w:t>
      </w:r>
      <w:r>
        <w:t xml:space="preserve"> </w:t>
      </w:r>
      <w:r>
        <w:rPr>
          <w:b/>
          <w:bCs/>
        </w:rPr>
        <w:t xml:space="preserve">requirement ids</w:t>
      </w:r>
      <w:r>
        <w:t xml:space="preserve"> </w:t>
      </w:r>
      <w:r>
        <w:t xml:space="preserve">adapted from them, instead of the schemes’ texts. The structures and</w:t>
      </w:r>
      <w:r>
        <w:t xml:space="preserve"> </w:t>
      </w:r>
      <w:r>
        <w:t xml:space="preserve">methods are the same as the documents used in the field.</w:t>
      </w:r>
    </w:p>
    <w:p>
      <w:r>
        <w:pict>
          <v:rect style="width:0;height:1.5pt" o:hralign="center" o:hrstd="t" o:hr="t"/>
        </w:pict>
      </w:r>
    </w:p>
    <w:bookmarkStart w:id="40" w:name="basic-concepts-from-scratch"/>
    <w:p>
      <w:pPr>
        <w:pStyle w:val="Heading2"/>
      </w:pPr>
      <w:r>
        <w:t xml:space="preserve">0. Basic concepts (from scratch)</w:t>
      </w:r>
    </w:p>
    <w:p>
      <w:pPr>
        <w:pStyle w:val="FirstParagraph"/>
      </w:pPr>
      <w:r>
        <w:t xml:space="preserve">This section</w:t>
      </w:r>
      <w:r>
        <w:t xml:space="preserve"> </w:t>
      </w:r>
      <w:r>
        <w:rPr>
          <w:b/>
          <w:bCs/>
        </w:rPr>
        <w:t xml:space="preserve">assumes no prior knowledge</w:t>
      </w:r>
      <w:r>
        <w:t xml:space="preserve">. We define, from scratch, the terms we will use for the rest of the</w:t>
      </w:r>
      <w:r>
        <w:t xml:space="preserve"> </w:t>
      </w:r>
      <w:r>
        <w:t xml:space="preserve">week. If you don’t know a term, read this section first; the following sections build on these.</w:t>
      </w:r>
    </w:p>
    <w:bookmarkStart w:id="21" w:name="what-is-a-requirement"/>
    <w:p>
      <w:pPr>
        <w:pStyle w:val="Heading3"/>
      </w:pPr>
      <w:r>
        <w:t xml:space="preserve">What is a requirement?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Requirement:</w:t>
      </w:r>
      <w:r>
        <w:t xml:space="preserve"> </w:t>
      </w:r>
      <w:r>
        <w:t xml:space="preserve">a condition the system</w:t>
      </w:r>
      <w:r>
        <w:t xml:space="preserve"> </w:t>
      </w:r>
      <w:r>
        <w:rPr>
          <w:b/>
          <w:bCs/>
        </w:rPr>
        <w:t xml:space="preserve">must meet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A security requirement: a security condition.</w:t>
      </w:r>
    </w:p>
    <w:p>
      <w:pPr>
        <w:pStyle w:val="Compact"/>
        <w:numPr>
          <w:ilvl w:val="0"/>
          <w:numId w:val="1002"/>
        </w:numPr>
      </w:pPr>
      <w:r>
        <w:t xml:space="preserve">A good requirement is</w:t>
      </w:r>
      <w:r>
        <w:t xml:space="preserve"> </w:t>
      </w:r>
      <w:r>
        <w:rPr>
          <w:b/>
          <w:bCs/>
        </w:rPr>
        <w:t xml:space="preserve">verifiable</w:t>
      </w:r>
      <w:r>
        <w:t xml:space="preserve"> </w:t>
      </w:r>
      <w:r>
        <w:t xml:space="preserve">(testable).</w:t>
      </w:r>
    </w:p>
    <w:bookmarkEnd w:id="21"/>
    <w:bookmarkStart w:id="22" w:name="three-types-of-requirement"/>
    <w:p>
      <w:pPr>
        <w:pStyle w:val="Heading3"/>
      </w:pPr>
      <w:r>
        <w:t xml:space="preserve">Three types of requirement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Functional:</w:t>
      </w:r>
      <w:r>
        <w:t xml:space="preserve"> </w:t>
      </w:r>
      <w:r>
        <w:t xml:space="preserve">what security function will exist? (e.g., data is protected with AEAD)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Assurance:</w:t>
      </w:r>
      <w:r>
        <w:t xml:space="preserve"> </w:t>
      </w:r>
      <w:r>
        <w:t xml:space="preserve">how will we trust that it was done correctly? (e.g., a test report)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Process:</w:t>
      </w:r>
      <w:r>
        <w:t xml:space="preserve"> </w:t>
      </w:r>
      <w:r>
        <w:t xml:space="preserve">how must the organisation operate? (e.g., every change is reviewed)</w:t>
      </w:r>
    </w:p>
    <w:bookmarkEnd w:id="22"/>
    <w:bookmarkStart w:id="23" w:name="good-vs.-bad-requirement"/>
    <w:p>
      <w:pPr>
        <w:pStyle w:val="Heading3"/>
      </w:pPr>
      <w:r>
        <w:t xml:space="preserve">Good vs. bad requirement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Bad:</w:t>
      </w:r>
      <w:r>
        <w:t xml:space="preserve"> </w:t>
      </w:r>
      <w:r>
        <w:t xml:space="preserve">“The application must be secure.”</w:t>
      </w:r>
      <w:r>
        <w:t xml:space="preserve"> </w:t>
      </w:r>
      <w:r>
        <w:t xml:space="preserve">(unverifiable)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Good:</w:t>
      </w:r>
      <w:r>
        <w:t xml:space="preserve"> </w:t>
      </w:r>
      <w:r>
        <w:t xml:space="preserve">“The release build must be produced with a stack canary, PIE, and full RELRO.”</w:t>
      </w:r>
      <w:r>
        <w:t xml:space="preserve"> </w:t>
      </w:r>
      <w:r>
        <w:t xml:space="preserve">(measurable)</w:t>
      </w:r>
    </w:p>
    <w:bookmarkEnd w:id="23"/>
    <w:bookmarkStart w:id="24" w:name="traceability"/>
    <w:p>
      <w:pPr>
        <w:pStyle w:val="Heading3"/>
      </w:pPr>
      <w:r>
        <w:t xml:space="preserve">Traceability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Traceability:</w:t>
      </w:r>
      <w:r>
        <w:t xml:space="preserve"> </w:t>
      </w:r>
      <w:r>
        <w:t xml:space="preserve">linking each requirement to a</w:t>
      </w:r>
      <w:r>
        <w:t xml:space="preserve"> </w:t>
      </w:r>
      <w:r>
        <w:rPr>
          <w:b/>
          <w:bCs/>
        </w:rPr>
        <w:t xml:space="preserve">control</w:t>
      </w:r>
      <w:r>
        <w:t xml:space="preserve">, a</w:t>
      </w:r>
      <w:r>
        <w:t xml:space="preserve"> </w:t>
      </w:r>
      <w:r>
        <w:rPr>
          <w:b/>
          <w:bCs/>
        </w:rPr>
        <w:t xml:space="preserve">test</w:t>
      </w:r>
      <w:r>
        <w:t xml:space="preserve">, and</w:t>
      </w:r>
      <w:r>
        <w:t xml:space="preserve"> </w:t>
      </w:r>
      <w:r>
        <w:rPr>
          <w:b/>
          <w:bCs/>
        </w:rPr>
        <w:t xml:space="preserve">evidence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“Where was this requirement met, how was it verified?”</w:t>
      </w:r>
    </w:p>
    <w:bookmarkEnd w:id="24"/>
    <w:bookmarkStart w:id="25" w:name="compliance-matrix"/>
    <w:p>
      <w:pPr>
        <w:pStyle w:val="Heading3"/>
      </w:pPr>
      <w:r>
        <w:t xml:space="preserve">Compliance matrix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Compliance matrix:</w:t>
      </w:r>
      <w:r>
        <w:t xml:space="preserve"> </w:t>
      </w:r>
      <w:r>
        <w:t xml:space="preserve">a requirement → status → section → verification → evidence table.</w:t>
      </w:r>
    </w:p>
    <w:p>
      <w:pPr>
        <w:pStyle w:val="Compact"/>
        <w:numPr>
          <w:ilvl w:val="0"/>
          <w:numId w:val="1006"/>
        </w:numPr>
      </w:pPr>
      <w:r>
        <w:t xml:space="preserve">The project’s</w:t>
      </w:r>
      <w:r>
        <w:t xml:space="preserve"> </w:t>
      </w:r>
      <w:r>
        <w:rPr>
          <w:b/>
          <w:bCs/>
        </w:rPr>
        <w:t xml:space="preserve">S17</w:t>
      </w:r>
      <w:r>
        <w:t xml:space="preserve"> </w:t>
      </w:r>
      <w:r>
        <w:t xml:space="preserve">section.</w:t>
      </w:r>
    </w:p>
    <w:p>
      <w:pPr>
        <w:pStyle w:val="Compact"/>
        <w:numPr>
          <w:ilvl w:val="0"/>
          <w:numId w:val="1006"/>
        </w:numPr>
      </w:pPr>
      <w:r>
        <w:t xml:space="preserve">The first thing an evaluator looks at.</w:t>
      </w:r>
    </w:p>
    <w:bookmarkEnd w:id="25"/>
    <w:bookmarkStart w:id="26" w:name="requirement-statuses"/>
    <w:p>
      <w:pPr>
        <w:pStyle w:val="Heading3"/>
      </w:pPr>
      <w:r>
        <w:t xml:space="preserve">Requirement statuses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Met:</w:t>
      </w:r>
      <w:r>
        <w:t xml:space="preserve"> </w:t>
      </w:r>
      <w:r>
        <w:t xml:space="preserve">the product satisfies this requirement (with evidence).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Deferred:</w:t>
      </w:r>
      <w:r>
        <w:t xml:space="preserve"> </w:t>
      </w:r>
      <w:r>
        <w:t xml:space="preserve">another party satisfies it (to whom, why, how).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Not met:</w:t>
      </w:r>
      <w:r>
        <w:t xml:space="preserve"> </w:t>
      </w:r>
      <w:r>
        <w:t xml:space="preserve">not yet satisfied.</w:t>
      </w:r>
    </w:p>
    <w:bookmarkEnd w:id="26"/>
    <w:bookmarkStart w:id="27" w:name="deferred-requirement"/>
    <w:p>
      <w:pPr>
        <w:pStyle w:val="Heading3"/>
      </w:pPr>
      <w:r>
        <w:t xml:space="preserve">Deferred requirement</w:t>
      </w:r>
    </w:p>
    <w:p>
      <w:pPr>
        <w:pStyle w:val="Compact"/>
        <w:numPr>
          <w:ilvl w:val="0"/>
          <w:numId w:val="1008"/>
        </w:numPr>
      </w:pPr>
      <w:r>
        <w:t xml:space="preserve">If a component cannot meet a requirement, it</w:t>
      </w:r>
      <w:r>
        <w:t xml:space="preserve"> </w:t>
      </w:r>
      <w:r>
        <w:rPr>
          <w:b/>
          <w:bCs/>
        </w:rPr>
        <w:t xml:space="preserve">defers</w:t>
      </w:r>
      <w:r>
        <w:t xml:space="preserve"> </w:t>
      </w:r>
      <w:r>
        <w:t xml:space="preserve">it to the parent application/OS.</w:t>
      </w:r>
    </w:p>
    <w:p>
      <w:pPr>
        <w:pStyle w:val="Compact"/>
        <w:numPr>
          <w:ilvl w:val="0"/>
          <w:numId w:val="1008"/>
        </w:numPr>
      </w:pPr>
      <w:r>
        <w:t xml:space="preserve">The guide states</w:t>
      </w:r>
      <w:r>
        <w:t xml:space="preserve"> </w:t>
      </w:r>
      <w:r>
        <w:rPr>
          <w:b/>
          <w:bCs/>
        </w:rPr>
        <w:t xml:space="preserve">to whom</w:t>
      </w:r>
      <w:r>
        <w:t xml:space="preserve">,</w:t>
      </w:r>
      <w:r>
        <w:t xml:space="preserve"> </w:t>
      </w:r>
      <w:r>
        <w:rPr>
          <w:b/>
          <w:bCs/>
        </w:rPr>
        <w:t xml:space="preserve">why</w:t>
      </w:r>
      <w:r>
        <w:t xml:space="preserve">, and</w:t>
      </w:r>
      <w:r>
        <w:t xml:space="preserve"> </w:t>
      </w:r>
      <w:r>
        <w:rPr>
          <w:b/>
          <w:bCs/>
        </w:rPr>
        <w:t xml:space="preserve">how</w:t>
      </w:r>
      <w:r>
        <w:t xml:space="preserve"> </w:t>
      </w:r>
      <w:r>
        <w:t xml:space="preserve">it will be met.</w:t>
      </w:r>
    </w:p>
    <w:p>
      <w:pPr>
        <w:pStyle w:val="Compact"/>
        <w:numPr>
          <w:ilvl w:val="0"/>
          <w:numId w:val="1008"/>
        </w:numPr>
      </w:pPr>
      <w:r>
        <w:t xml:space="preserve">The project’s</w:t>
      </w:r>
      <w:r>
        <w:t xml:space="preserve"> </w:t>
      </w:r>
      <w:r>
        <w:rPr>
          <w:b/>
          <w:bCs/>
        </w:rPr>
        <w:t xml:space="preserve">S14</w:t>
      </w:r>
      <w:r>
        <w:t xml:space="preserve"> </w:t>
      </w:r>
      <w:r>
        <w:t xml:space="preserve">section.</w:t>
      </w:r>
    </w:p>
    <w:bookmarkEnd w:id="27"/>
    <w:bookmarkStart w:id="28" w:name="common-criteria-cc"/>
    <w:p>
      <w:pPr>
        <w:pStyle w:val="Heading3"/>
      </w:pPr>
      <w:r>
        <w:t xml:space="preserve">Common Criteria (CC)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Common Criteria (ISO/IEC 15408):</w:t>
      </w:r>
      <w:r>
        <w:t xml:space="preserve"> </w:t>
      </w:r>
      <w:r>
        <w:t xml:space="preserve">the international standard for product security evaluation.</w:t>
      </w:r>
    </w:p>
    <w:p>
      <w:pPr>
        <w:pStyle w:val="Compact"/>
        <w:numPr>
          <w:ilvl w:val="0"/>
          <w:numId w:val="1009"/>
        </w:numPr>
      </w:pPr>
      <w:r>
        <w:t xml:space="preserve">Concepts: TOE, ST, PP, SFR, SAR, EAL (shortly).</w:t>
      </w:r>
    </w:p>
    <w:bookmarkEnd w:id="28"/>
    <w:bookmarkStart w:id="29" w:name="cc-basic-terms"/>
    <w:p>
      <w:pPr>
        <w:pStyle w:val="Heading3"/>
      </w:pPr>
      <w:r>
        <w:t xml:space="preserve">CC · basic terms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TOE:</w:t>
      </w:r>
      <w:r>
        <w:t xml:space="preserve"> </w:t>
      </w:r>
      <w:r>
        <w:t xml:space="preserve">the product being evaluated.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ST (Security Target):</w:t>
      </w:r>
      <w:r>
        <w:t xml:space="preserve"> </w:t>
      </w:r>
      <w:r>
        <w:t xml:space="preserve">this product’s security-target document.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PP (Protection Profile):</w:t>
      </w:r>
      <w:r>
        <w:t xml:space="preserve"> </w:t>
      </w:r>
      <w:r>
        <w:t xml:space="preserve">a common requirement set for a product</w:t>
      </w:r>
      <w:r>
        <w:t xml:space="preserve"> </w:t>
      </w:r>
      <w:r>
        <w:rPr>
          <w:b/>
          <w:bCs/>
        </w:rPr>
        <w:t xml:space="preserve">class</w:t>
      </w:r>
      <w:r>
        <w:t xml:space="preserve">.</w:t>
      </w:r>
    </w:p>
    <w:bookmarkEnd w:id="29"/>
    <w:bookmarkStart w:id="30" w:name="cc-sfr-sar-eal"/>
    <w:p>
      <w:pPr>
        <w:pStyle w:val="Heading3"/>
      </w:pPr>
      <w:r>
        <w:t xml:space="preserve">CC · SFR, SAR, EAL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SFR:</w:t>
      </w:r>
      <w:r>
        <w:t xml:space="preserve"> </w:t>
      </w:r>
      <w:r>
        <w:t xml:space="preserve">security</w:t>
      </w:r>
      <w:r>
        <w:t xml:space="preserve"> </w:t>
      </w:r>
      <w:r>
        <w:rPr>
          <w:b/>
          <w:bCs/>
        </w:rPr>
        <w:t xml:space="preserve">functional</w:t>
      </w:r>
      <w:r>
        <w:t xml:space="preserve"> </w:t>
      </w:r>
      <w:r>
        <w:t xml:space="preserve">requirements.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SAR:</w:t>
      </w:r>
      <w:r>
        <w:t xml:space="preserve"> </w:t>
      </w:r>
      <w:r>
        <w:t xml:space="preserve">security</w:t>
      </w:r>
      <w:r>
        <w:t xml:space="preserve"> </w:t>
      </w:r>
      <w:r>
        <w:rPr>
          <w:b/>
          <w:bCs/>
        </w:rPr>
        <w:t xml:space="preserve">assurance</w:t>
      </w:r>
      <w:r>
        <w:t xml:space="preserve"> </w:t>
      </w:r>
      <w:r>
        <w:t xml:space="preserve">requirements.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EAL: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depth</w:t>
      </w:r>
      <w:r>
        <w:t xml:space="preserve"> </w:t>
      </w:r>
      <w:r>
        <w:t xml:space="preserve">level of the evaluation (EAL1–EAL7).</w:t>
      </w:r>
    </w:p>
    <w:bookmarkEnd w:id="30"/>
    <w:bookmarkStart w:id="31" w:name="fips-140-3"/>
    <w:p>
      <w:pPr>
        <w:pStyle w:val="Heading3"/>
      </w:pPr>
      <w:r>
        <w:t xml:space="preserve">FIPS 140-3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FIPS 140-3:</w:t>
      </w:r>
      <w:r>
        <w:t xml:space="preserve"> </w:t>
      </w:r>
      <w:r>
        <w:t xml:space="preserve">the standard for validating cryptographic</w:t>
      </w:r>
      <w:r>
        <w:t xml:space="preserve"> </w:t>
      </w:r>
      <w:r>
        <w:rPr>
          <w:b/>
          <w:bCs/>
        </w:rPr>
        <w:t xml:space="preserve">modules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Security levels (1–4).</w:t>
      </w:r>
    </w:p>
    <w:p>
      <w:pPr>
        <w:pStyle w:val="Compact"/>
        <w:numPr>
          <w:ilvl w:val="0"/>
          <w:numId w:val="1012"/>
        </w:numPr>
      </w:pPr>
      <w:r>
        <w:t xml:space="preserve">It covers only the module, not the whole application.</w:t>
      </w:r>
    </w:p>
    <w:bookmarkEnd w:id="31"/>
    <w:bookmarkStart w:id="32" w:name="sector-standards"/>
    <w:p>
      <w:pPr>
        <w:pStyle w:val="Heading3"/>
      </w:pPr>
      <w:r>
        <w:t xml:space="preserve">Sector standards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ETSI EN 303 645:</w:t>
      </w:r>
      <w:r>
        <w:t xml:space="preserve"> </w:t>
      </w:r>
      <w:r>
        <w:t xml:space="preserve">baseline IoT security.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GSMA, EMVCo, PCI:</w:t>
      </w:r>
      <w:r>
        <w:t xml:space="preserve"> </w:t>
      </w:r>
      <w:r>
        <w:t xml:space="preserve">mobile/payment.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OWASP MASVS:</w:t>
      </w:r>
      <w:r>
        <w:t xml:space="preserve"> </w:t>
      </w:r>
      <w:r>
        <w:t xml:space="preserve">mobile application requirements.</w:t>
      </w:r>
    </w:p>
    <w:bookmarkEnd w:id="32"/>
    <w:bookmarkStart w:id="33" w:name="why-are-there-so-many-terms-rationale"/>
    <w:p>
      <w:pPr>
        <w:pStyle w:val="Heading3"/>
      </w:pPr>
      <w:r>
        <w:t xml:space="preserve">Why are there so many terms? (rationale)</w:t>
      </w:r>
    </w:p>
    <w:p>
      <w:pPr>
        <w:pStyle w:val="FirstParagraph"/>
      </w:pPr>
      <w:r>
        <w:t xml:space="preserve">The certification world uses its own vocabulary because an evaluator reads your</w:t>
      </w:r>
      <w:r>
        <w:t xml:space="preserve"> </w:t>
      </w:r>
      <w:r>
        <w:rPr>
          <w:b/>
          <w:bCs/>
        </w:rPr>
        <w:t xml:space="preserve">document</w:t>
      </w:r>
      <w:r>
        <w:t xml:space="preserve">, not your project. If</w:t>
      </w:r>
      <w:r>
        <w:t xml:space="preserve"> </w:t>
      </w:r>
      <w:r>
        <w:t xml:space="preserve">what you call a</w:t>
      </w:r>
      <w:r>
        <w:t xml:space="preserve"> </w:t>
      </w:r>
      <w:r>
        <w:t xml:space="preserve">“requirement”</w:t>
      </w:r>
      <w:r>
        <w:t xml:space="preserve"> </w:t>
      </w:r>
      <w:r>
        <w:t xml:space="preserve">in the document is actually a</w:t>
      </w:r>
      <w:r>
        <w:t xml:space="preserve"> </w:t>
      </w:r>
      <w:r>
        <w:t xml:space="preserve">“control,”</w:t>
      </w:r>
      <w:r>
        <w:t xml:space="preserve"> </w:t>
      </w:r>
      <w:r>
        <w:t xml:space="preserve">the evaluator conflates the two and asks</w:t>
      </w:r>
      <w:r>
        <w:t xml:space="preserve"> </w:t>
      </w:r>
      <w:r>
        <w:t xml:space="preserve">the wrong question: instead of</w:t>
      </w:r>
      <w:r>
        <w:t xml:space="preserve"> </w:t>
      </w:r>
      <w:r>
        <w:t xml:space="preserve">“Where is this requirement’s control?”</w:t>
      </w:r>
      <w:r>
        <w:t xml:space="preserve"> </w:t>
      </w:r>
      <w:r>
        <w:t xml:space="preserve">they should be asking</w:t>
      </w:r>
      <w:r>
        <w:t xml:space="preserve"> </w:t>
      </w:r>
      <w:r>
        <w:t xml:space="preserve">“Why is this</w:t>
      </w:r>
      <w:r>
        <w:t xml:space="preserve"> </w:t>
      </w:r>
      <w:r>
        <w:t xml:space="preserve">requirement written like a control, what does it satisfy?”</w:t>
      </w:r>
      <w:r>
        <w:t xml:space="preserve"> </w:t>
      </w:r>
      <w:r>
        <w:t xml:space="preserve">If the terms are not used consistently, the</w:t>
      </w:r>
      <w:r>
        <w:t xml:space="preserve"> </w:t>
      </w:r>
      <w:r>
        <w:t xml:space="preserve">traceability chain (Section 2) cannot be built; each word maps to a different box (requirement, control, or</w:t>
      </w:r>
      <w:r>
        <w:t xml:space="preserve"> </w:t>
      </w:r>
      <w:r>
        <w:t xml:space="preserve">evidence), and if those boxes get mixed up the matrix becomes meaningless. That is why the discipline this course</w:t>
      </w:r>
      <w:r>
        <w:t xml:space="preserve"> </w:t>
      </w:r>
      <w:r>
        <w:t xml:space="preserve">requires is, first, using the right word in the right place; the technical solution is the second step.</w:t>
      </w:r>
    </w:p>
    <w:p>
      <w:pPr>
        <w:pStyle w:val="BlockText"/>
      </w:pPr>
      <w:r>
        <w:rPr>
          <w:b/>
          <w:bCs/>
        </w:rPr>
        <w:t xml:space="preserve">Common mistake: confusing a requirement with a control</w:t>
      </w:r>
    </w:p>
    <w:p>
      <w:pPr>
        <w:pStyle w:val="BlockText"/>
      </w:pPr>
      <w:r>
        <w:t xml:space="preserve">Beginners often write:</w:t>
      </w:r>
      <w:r>
        <w:t xml:space="preserve"> </w:t>
      </w:r>
      <w:r>
        <w:t xml:space="preserve">“Requirement: AES-256-GCM must be used.”</w:t>
      </w:r>
      <w:r>
        <w:t xml:space="preserve"> </w:t>
      </w:r>
      <w:r>
        <w:t xml:space="preserve">This is actually a</w:t>
      </w:r>
      <w:r>
        <w:t xml:space="preserve"> </w:t>
      </w:r>
      <w:r>
        <w:rPr>
          <w:b/>
          <w:bCs/>
        </w:rPr>
        <w:t xml:space="preserve">control</w:t>
      </w:r>
      <w:r>
        <w:t xml:space="preserve"> </w:t>
      </w:r>
      <w:r>
        <w:t xml:space="preserve">(a solution),</w:t>
      </w:r>
      <w:r>
        <w:t xml:space="preserve"> </w:t>
      </w:r>
      <w:r>
        <w:t xml:space="preserve">not a requirement. The requirement should have been:</w:t>
      </w:r>
      <w:r>
        <w:t xml:space="preserve"> </w:t>
      </w:r>
      <w:r>
        <w:t xml:space="preserve">“Sensitive data at rest must be protected with</w:t>
      </w:r>
      <w:r>
        <w:t xml:space="preserve"> </w:t>
      </w:r>
      <w:r>
        <w:t xml:space="preserve">authenticated encryption (AEAD).”</w:t>
      </w:r>
      <w:r>
        <w:t xml:space="preserve"> </w:t>
      </w:r>
      <w:r>
        <w:t xml:space="preserve">The control is</w:t>
      </w:r>
      <w:r>
        <w:t xml:space="preserve"> </w:t>
      </w:r>
      <w:r>
        <w:rPr>
          <w:b/>
          <w:bCs/>
        </w:rPr>
        <w:t xml:space="preserve">how</w:t>
      </w:r>
      <w:r>
        <w:t xml:space="preserve"> </w:t>
      </w:r>
      <w:r>
        <w:t xml:space="preserve">you meet this requirement:</w:t>
      </w:r>
      <w:r>
        <w:t xml:space="preserve"> </w:t>
      </w:r>
      <w:r>
        <w:t xml:space="preserve">“With AES-256-GCM, as</w:t>
      </w:r>
      <w:r>
        <w:t xml:space="preserve"> </w:t>
      </w:r>
      <w:r>
        <w:t xml:space="preserve">described in S7.2.”</w:t>
      </w:r>
      <w:r>
        <w:t xml:space="preserve"> </w:t>
      </w:r>
      <w:r>
        <w:t xml:space="preserve">A requirement is fixed (it comes from a standard or a threat model); a control can vary</w:t>
      </w:r>
      <w:r>
        <w:t xml:space="preserve"> </w:t>
      </w:r>
      <w:r>
        <w:t xml:space="preserve">from project to project — one project may meet the same requirement with AES-GCM, another with</w:t>
      </w:r>
      <w:r>
        <w:t xml:space="preserve"> </w:t>
      </w:r>
      <w:r>
        <w:t xml:space="preserve">ChaCha20-Poly1305; both correctly meet the same requirement.</w:t>
      </w:r>
    </w:p>
    <w:p>
      <w:pPr>
        <w:pStyle w:val="BlockText"/>
      </w:pPr>
      <w:r>
        <w:rPr>
          <w:b/>
          <w:bCs/>
        </w:rPr>
        <w:t xml:space="preserve">Consequence:</w:t>
      </w:r>
      <w:r>
        <w:t xml:space="preserve"> </w:t>
      </w:r>
      <w:r>
        <w:t xml:space="preserve">A compliance matrix that writes a solution in the requirement column gives the evaluator the</w:t>
      </w:r>
      <w:r>
        <w:t xml:space="preserve"> </w:t>
      </w:r>
      <w:r>
        <w:t xml:space="preserve">impression that</w:t>
      </w:r>
      <w:r>
        <w:t xml:space="preserve"> </w:t>
      </w:r>
      <w:r>
        <w:t xml:space="preserve">“you’ve already made the decision, you didn’t consider alternatives”</w:t>
      </w:r>
      <w:r>
        <w:t xml:space="preserve">; also, because the</w:t>
      </w:r>
      <w:r>
        <w:t xml:space="preserve"> </w:t>
      </w:r>
      <w:r>
        <w:t xml:space="preserve">requirement is detached from the standard, which standard clause it corresponds to is lost, and the</w:t>
      </w:r>
      <w:r>
        <w:t xml:space="preserve"> </w:t>
      </w:r>
      <w:r>
        <w:t xml:space="preserve">traceability chain breaks.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Always write</w:t>
      </w:r>
      <w:r>
        <w:t xml:space="preserve"> </w:t>
      </w:r>
      <w:r>
        <w:rPr>
          <w:b/>
          <w:bCs/>
        </w:rPr>
        <w:t xml:space="preserve">what</w:t>
      </w:r>
      <w:r>
        <w:t xml:space="preserve"> </w:t>
      </w:r>
      <w:r>
        <w:t xml:space="preserve">is being asked for (a condition coming from a standard or threat model) in the</w:t>
      </w:r>
      <w:r>
        <w:t xml:space="preserve"> </w:t>
      </w:r>
      <w:r>
        <w:t xml:space="preserve">requirement column; always write</w:t>
      </w:r>
      <w:r>
        <w:t xml:space="preserve"> </w:t>
      </w:r>
      <w:r>
        <w:rPr>
          <w:b/>
          <w:bCs/>
        </w:rPr>
        <w:t xml:space="preserve">how</w:t>
      </w:r>
      <w:r>
        <w:t xml:space="preserve"> </w:t>
      </w:r>
      <w:r>
        <w:t xml:space="preserve">you meet it (which algorithm, which code, which library) in a</w:t>
      </w:r>
      <w:r>
        <w:t xml:space="preserve"> </w:t>
      </w:r>
      <w:r>
        <w:t xml:space="preserve">separate</w:t>
      </w:r>
      <w:r>
        <w:t xml:space="preserve"> </w:t>
      </w:r>
      <w:r>
        <w:t xml:space="preserve">“control”</w:t>
      </w:r>
      <w:r>
        <w:t xml:space="preserve"> </w:t>
      </w:r>
      <w:r>
        <w:t xml:space="preserve">column or sentence. If a sentence contains a product name, a library name, or an algorithm</w:t>
      </w:r>
      <w:r>
        <w:t xml:space="preserve"> </w:t>
      </w:r>
      <w:r>
        <w:t xml:space="preserve">name, that sentence is most likely a control, not a requirement.</w:t>
      </w:r>
    </w:p>
    <w:bookmarkEnd w:id="33"/>
    <w:bookmarkStart w:id="34" w:name="X414dd248e25ce8fbaa2fffa64a7b3723775fe63"/>
    <w:p>
      <w:pPr>
        <w:pStyle w:val="Heading3"/>
      </w:pPr>
      <w:r>
        <w:t xml:space="preserve">Let’s see the concepts through a single asset (mini example)</w:t>
      </w:r>
    </w:p>
    <w:p>
      <w:pPr>
        <w:pStyle w:val="FirstParagraph"/>
      </w:pPr>
      <w:r>
        <w:t xml:space="preserve">To see how the terms fit together, let’s quickly walk through a single asset; we’ll see the fully worked-out</w:t>
      </w:r>
      <w:r>
        <w:t xml:space="preserve"> </w:t>
      </w:r>
      <w:r>
        <w:t xml:space="preserve">version end to end in Section 2.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Asset</w:t>
      </w:r>
      <w:r>
        <w:t xml:space="preserve"> </w:t>
      </w:r>
      <w:r>
        <w:t xml:space="preserve">(from Week 1):</w:t>
      </w:r>
      <w:r>
        <w:t xml:space="preserve"> </w:t>
      </w:r>
      <w:r>
        <w:t xml:space="preserve">“the user’s session token”</w:t>
      </w:r>
      <w:r>
        <w:t xml:space="preserve">; marked with confidentiality class</w:t>
      </w:r>
      <w:r>
        <w:t xml:space="preserve"> </w:t>
      </w:r>
      <w:r>
        <w:rPr>
          <w:b/>
          <w:bCs/>
        </w:rPr>
        <w:t xml:space="preserve">C</w:t>
      </w:r>
      <w:r>
        <w:t xml:space="preserve"> </w:t>
      </w:r>
      <w:r>
        <w:t xml:space="preserve">in the asset</w:t>
      </w:r>
      <w:r>
        <w:t xml:space="preserve"> </w:t>
      </w:r>
      <w:r>
        <w:t xml:space="preserve">table.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Threat</w:t>
      </w:r>
      <w:r>
        <w:t xml:space="preserve"> </w:t>
      </w:r>
      <w:r>
        <w:t xml:space="preserve">(from Week 1): an attacker listening on the network can capture this token and act as the user.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Requirement:</w:t>
      </w:r>
      <w:r>
        <w:t xml:space="preserve"> </w:t>
      </w:r>
      <w:r>
        <w:t xml:space="preserve">“The session token must only be carried over an encrypted channel.”</w:t>
      </w:r>
      <w:r>
        <w:t xml:space="preserve"> </w:t>
      </w:r>
      <w:r>
        <w:t xml:space="preserve">This states</w:t>
      </w:r>
      <w:r>
        <w:t xml:space="preserve"> </w:t>
      </w:r>
      <w:r>
        <w:rPr>
          <w:b/>
          <w:bCs/>
        </w:rPr>
        <w:t xml:space="preserve">what</w:t>
      </w:r>
      <w:r>
        <w:t xml:space="preserve"> </w:t>
      </w:r>
      <w:r>
        <w:t xml:space="preserve">the</w:t>
      </w:r>
      <w:r>
        <w:t xml:space="preserve"> </w:t>
      </w:r>
      <w:r>
        <w:t xml:space="preserve">system must do against the threat; it does not say</w:t>
      </w:r>
      <w:r>
        <w:t xml:space="preserve"> </w:t>
      </w:r>
      <w:r>
        <w:rPr>
          <w:b/>
          <w:bCs/>
        </w:rPr>
        <w:t xml:space="preserve">how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Status:</w:t>
      </w:r>
      <w:r>
        <w:t xml:space="preserve"> </w:t>
      </w:r>
      <w:r>
        <w:t xml:space="preserve">Does the team meet this itself, or</w:t>
      </w:r>
      <w:r>
        <w:t xml:space="preserve"> </w:t>
      </w:r>
      <w:r>
        <w:rPr>
          <w:b/>
          <w:bCs/>
        </w:rPr>
        <w:t xml:space="preserve">defer</w:t>
      </w:r>
      <w:r>
        <w:t xml:space="preserve"> </w:t>
      </w:r>
      <w:r>
        <w:t xml:space="preserve">it to another party? Say the product sets up TLS</w:t>
      </w:r>
      <w:r>
        <w:t xml:space="preserve"> </w:t>
      </w:r>
      <w:r>
        <w:t xml:space="preserve">itself: the status is</w:t>
      </w:r>
      <w:r>
        <w:t xml:space="preserve"> </w:t>
      </w:r>
      <w:r>
        <w:rPr>
          <w:b/>
          <w:bCs/>
        </w:rPr>
        <w:t xml:space="preserve">met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Traceability:</w:t>
      </w:r>
      <w:r>
        <w:t xml:space="preserve"> </w:t>
      </w:r>
      <w:r>
        <w:t xml:space="preserve">In which section of the guide is this requirement explained (control), how is it verified</w:t>
      </w:r>
      <w:r>
        <w:t xml:space="preserve"> </w:t>
      </w:r>
      <w:r>
        <w:t xml:space="preserve">(test), and where is its evidence? The answers to these three questions form one row of the</w:t>
      </w:r>
      <w:r>
        <w:t xml:space="preserve"> </w:t>
      </w:r>
      <w:r>
        <w:rPr>
          <w:b/>
          <w:bCs/>
        </w:rPr>
        <w:t xml:space="preserve">compliance</w:t>
      </w:r>
      <w:r>
        <w:rPr>
          <w:b/>
          <w:bCs/>
        </w:rPr>
        <w:t xml:space="preserve"> </w:t>
      </w:r>
      <w:r>
        <w:rPr>
          <w:b/>
          <w:bCs/>
        </w:rPr>
        <w:t xml:space="preserve">matrix</w:t>
      </w:r>
      <w:r>
        <w:t xml:space="preserve">.</w:t>
      </w:r>
    </w:p>
    <w:p>
      <w:pPr>
        <w:pStyle w:val="FirstParagraph"/>
      </w:pPr>
      <w:r>
        <w:t xml:space="preserve">Let’s follow the same asset to see the</w:t>
      </w:r>
      <w:r>
        <w:t xml:space="preserve"> </w:t>
      </w:r>
      <w:r>
        <w:t xml:space="preserve">“deferred”</w:t>
      </w:r>
      <w:r>
        <w:t xml:space="preserve"> </w:t>
      </w:r>
      <w:r>
        <w:t xml:space="preserve">status too: if the product were a library and the parent</w:t>
      </w:r>
      <w:r>
        <w:t xml:space="preserve"> </w:t>
      </w:r>
      <w:r>
        <w:t xml:space="preserve">application set up the TLS connection, the requirement would be</w:t>
      </w:r>
      <w:r>
        <w:t xml:space="preserve"> </w:t>
      </w:r>
      <w:r>
        <w:rPr>
          <w:b/>
          <w:bCs/>
        </w:rPr>
        <w:t xml:space="preserve">deferred</w:t>
      </w:r>
      <w:r>
        <w:t xml:space="preserve"> </w:t>
      </w:r>
      <w:r>
        <w:t xml:space="preserve">to the parent application, and S14</w:t>
      </w:r>
      <w:r>
        <w:t xml:space="preserve"> </w:t>
      </w:r>
      <w:r>
        <w:t xml:space="preserve">would read</w:t>
      </w:r>
      <w:r>
        <w:t xml:space="preserve"> </w:t>
      </w:r>
      <w:r>
        <w:t xml:space="preserve">“to whom: the parent application; why: the library does not open network connections itself; how: the</w:t>
      </w:r>
      <w:r>
        <w:t xml:space="preserve"> </w:t>
      </w:r>
      <w:r>
        <w:t xml:space="preserve">parent application must connect using TLS 1.2+ and certificate validation.”</w:t>
      </w:r>
    </w:p>
    <w:bookmarkEnd w:id="34"/>
    <w:bookmarkStart w:id="35" w:name="Xf19cc358a083d73d55b0a7712ef891b1c2adfc7"/>
    <w:p>
      <w:pPr>
        <w:pStyle w:val="Heading3"/>
      </w:pPr>
      <w:r>
        <w:t xml:space="preserve">The difference between a</w:t>
      </w:r>
      <w:r>
        <w:t xml:space="preserve"> </w:t>
      </w:r>
      <w:r>
        <w:t xml:space="preserve">‘requirement family’</w:t>
      </w:r>
      <w:r>
        <w:t xml:space="preserve"> </w:t>
      </w:r>
      <w:r>
        <w:t xml:space="preserve">and a</w:t>
      </w:r>
      <w:r>
        <w:t xml:space="preserve"> </w:t>
      </w:r>
      <w:r>
        <w:t xml:space="preserve">‘standard’</w:t>
      </w:r>
    </w:p>
    <w:p>
      <w:pPr>
        <w:pStyle w:val="FirstParagraph"/>
      </w:pPr>
      <w:r>
        <w:t xml:space="preserve">This course uses two different things coming from two different sources, and confusing them is a common mistake: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Standard:</w:t>
      </w:r>
      <w:r>
        <w:t xml:space="preserve"> </w:t>
      </w:r>
      <w:r>
        <w:t xml:space="preserve">an external document the course did not write (e.g., ETSI EN 303 645, Common Criteria, FIPS</w:t>
      </w:r>
      <w:r>
        <w:t xml:space="preserve"> </w:t>
      </w:r>
      <w:r>
        <w:t xml:space="preserve">140-3, OWASP MASVS). It has its own clause numbers and its own issuing body.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The course’s requirement family:</w:t>
      </w:r>
      <w:r>
        <w:t xml:space="preserve"> </w:t>
      </w:r>
      <w:r>
        <w:t xml:space="preserve">the course’s own short list, adapted from these standards, with ids of the</w:t>
      </w:r>
      <w:r>
        <w:t xml:space="preserve"> </w:t>
      </w:r>
      <w:r>
        <w:t xml:space="preserve">form</w:t>
      </w:r>
      <w:r>
        <w:t xml:space="preserve"> </w:t>
      </w:r>
      <w:r>
        <w:rPr>
          <w:rStyle w:val="VerbatimChar"/>
        </w:rPr>
        <w:t xml:space="preserve">CEN429-&lt;family&gt;-&lt;number&gt;</w:t>
      </w:r>
      <w:r>
        <w:t xml:space="preserve"> </w:t>
      </w:r>
      <w:r>
        <w:t xml:space="preserve">(Section 8). Its purpose is to gather the common denominator of different</w:t>
      </w:r>
      <w:r>
        <w:t xml:space="preserve"> </w:t>
      </w:r>
      <w:r>
        <w:t xml:space="preserve">standards into a single workable list.</w:t>
      </w:r>
    </w:p>
    <w:p>
      <w:pPr>
        <w:pStyle w:val="FirstParagraph"/>
      </w:pPr>
      <w:r>
        <w:t xml:space="preserve">When writing a requirement,</w:t>
      </w:r>
      <w:r>
        <w:t xml:space="preserve"> </w:t>
      </w:r>
      <w:r>
        <w:t xml:space="preserve">“which standard it is based on”</w:t>
      </w:r>
      <w:r>
        <w:t xml:space="preserve"> </w:t>
      </w:r>
      <w:r>
        <w:t xml:space="preserve">(source) and</w:t>
      </w:r>
      <w:r>
        <w:t xml:space="preserve"> </w:t>
      </w:r>
      <w:r>
        <w:t xml:space="preserve">“which of the course’s families it</w:t>
      </w:r>
      <w:r>
        <w:t xml:space="preserve"> </w:t>
      </w:r>
      <w:r>
        <w:t xml:space="preserve">belongs to”</w:t>
      </w:r>
      <w:r>
        <w:t xml:space="preserve"> </w:t>
      </w:r>
      <w:r>
        <w:t xml:space="preserve">(id) are two separate questions; you state both separately, in the S1 (sources) and S17 (compliance</w:t>
      </w:r>
      <w:r>
        <w:t xml:space="preserve"> </w:t>
      </w:r>
      <w:r>
        <w:t xml:space="preserve">matrix) sections.</w:t>
      </w:r>
    </w:p>
    <w:bookmarkEnd w:id="35"/>
    <w:bookmarkStart w:id="36" w:name="Xbe6877b4072df213c227120d875be5ec5183e18"/>
    <w:p>
      <w:pPr>
        <w:pStyle w:val="Heading3"/>
      </w:pPr>
      <w:r>
        <w:t xml:space="preserve">Quick self-check (before finishing Section 0)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Q:</w:t>
      </w:r>
      <w:r>
        <w:t xml:space="preserve"> </w:t>
      </w:r>
      <w:r>
        <w:t xml:space="preserve">Is</w:t>
      </w:r>
      <w:r>
        <w:t xml:space="preserve"> </w:t>
      </w:r>
      <w:r>
        <w:t xml:space="preserve">“The release build must be produced with PIE”</w:t>
      </w:r>
      <w:r>
        <w:t xml:space="preserve"> </w:t>
      </w:r>
      <w:r>
        <w:t xml:space="preserve">a requirement or a control?</w:t>
      </w:r>
      <w:r>
        <w:t xml:space="preserve"> </w:t>
      </w:r>
      <w:r>
        <w:rPr>
          <w:b/>
          <w:bCs/>
        </w:rPr>
        <w:t xml:space="preserve">A:</w:t>
      </w:r>
      <w:r>
        <w:t xml:space="preserve"> </w:t>
      </w:r>
      <w:r>
        <w:t xml:space="preserve">A requirement — a</w:t>
      </w:r>
      <w:r>
        <w:t xml:space="preserve"> </w:t>
      </w:r>
      <w:r>
        <w:t xml:space="preserve">measurable condition; it doesn’t yet say</w:t>
      </w:r>
      <w:r>
        <w:t xml:space="preserve"> </w:t>
      </w:r>
      <w:r>
        <w:t xml:space="preserve">“how it is met”</w:t>
      </w:r>
      <w:r>
        <w:t xml:space="preserve"> </w:t>
      </w:r>
      <w:r>
        <w:t xml:space="preserve">(which compiler flag).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Q:</w:t>
      </w:r>
      <w:r>
        <w:t xml:space="preserve"> </w:t>
      </w:r>
      <w:r>
        <w:t xml:space="preserve">A row in a guide reads</w:t>
      </w:r>
      <w:r>
        <w:t xml:space="preserve"> </w:t>
      </w:r>
      <w:r>
        <w:t xml:space="preserve">“met”</w:t>
      </w:r>
      <w:r>
        <w:t xml:space="preserve"> </w:t>
      </w:r>
      <w:r>
        <w:t xml:space="preserve">but has no file name next to it. What does this row mean?</w:t>
      </w:r>
      <w:r>
        <w:t xml:space="preserve"> </w:t>
      </w:r>
      <w:r>
        <w:rPr>
          <w:b/>
          <w:bCs/>
        </w:rPr>
        <w:t xml:space="preserve">A:</w:t>
      </w:r>
      <w:r>
        <w:t xml:space="preserve"> </w:t>
      </w:r>
      <w:r>
        <w:t xml:space="preserve">It proves</w:t>
      </w:r>
      <w:r>
        <w:t xml:space="preserve"> </w:t>
      </w:r>
      <w:r>
        <w:t xml:space="preserve">nothing; the traceability chain is considered broken (Section 2).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Q:</w:t>
      </w:r>
      <w:r>
        <w:t xml:space="preserve"> </w:t>
      </w:r>
      <w:r>
        <w:t xml:space="preserve">If the product never connects to the network, what status is written for</w:t>
      </w:r>
      <w:r>
        <w:t xml:space="preserve"> </w:t>
      </w:r>
      <w:r>
        <w:t xml:space="preserve">“data in transit”</w:t>
      </w:r>
      <w:r>
        <w:t xml:space="preserve"> </w:t>
      </w:r>
      <w:r>
        <w:t xml:space="preserve">requirements?</w:t>
      </w:r>
      <w:r>
        <w:t xml:space="preserve"> </w:t>
      </w:r>
      <w:r>
        <w:rPr>
          <w:b/>
          <w:bCs/>
        </w:rPr>
        <w:t xml:space="preserve">A:</w:t>
      </w:r>
      <w:r>
        <w:t xml:space="preserve"> </w:t>
      </w:r>
      <w:r>
        <w:t xml:space="preserve">“Not applicable,”</w:t>
      </w:r>
      <w:r>
        <w:t xml:space="preserve"> </w:t>
      </w:r>
      <w:r>
        <w:t xml:space="preserve">together with its rationale.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Q:</w:t>
      </w:r>
      <w:r>
        <w:t xml:space="preserve"> </w:t>
      </w:r>
      <w:r>
        <w:t xml:space="preserve">Why isn’t</w:t>
      </w:r>
      <w:r>
        <w:t xml:space="preserve"> </w:t>
      </w:r>
      <w:r>
        <w:t xml:space="preserve">“Keys must be well managed”</w:t>
      </w:r>
      <w:r>
        <w:t xml:space="preserve"> </w:t>
      </w:r>
      <w:r>
        <w:t xml:space="preserve">singular?</w:t>
      </w:r>
      <w:r>
        <w:t xml:space="preserve"> </w:t>
      </w:r>
      <w:r>
        <w:rPr>
          <w:b/>
          <w:bCs/>
        </w:rPr>
        <w:t xml:space="preserve">A:</w:t>
      </w:r>
      <w:r>
        <w:t xml:space="preserve"> </w:t>
      </w:r>
      <w:r>
        <w:t xml:space="preserve">“Managing well”</w:t>
      </w:r>
      <w:r>
        <w:t xml:space="preserve"> </w:t>
      </w:r>
      <w:r>
        <w:t xml:space="preserve">vaguely packs several conditions —</w:t>
      </w:r>
      <w:r>
        <w:t xml:space="preserve"> </w:t>
      </w:r>
      <w:r>
        <w:t xml:space="preserve">generation, storage, use, and destruction — into one sentence; each should be its own requirement.</w:t>
      </w:r>
    </w:p>
    <w:bookmarkEnd w:id="36"/>
    <w:bookmarkStart w:id="37" w:name="Xcff23d1d71185b858fb56c6496914048e483fe7"/>
    <w:p>
      <w:pPr>
        <w:pStyle w:val="Heading3"/>
      </w:pPr>
      <w:r>
        <w:t xml:space="preserve">The difference between</w:t>
      </w:r>
      <w:r>
        <w:t xml:space="preserve"> </w:t>
      </w:r>
      <w:r>
        <w:t xml:space="preserve">‘not met’</w:t>
      </w:r>
      <w:r>
        <w:t xml:space="preserve"> </w:t>
      </w:r>
      <w:r>
        <w:t xml:space="preserve">and</w:t>
      </w:r>
      <w:r>
        <w:t xml:space="preserve"> </w:t>
      </w:r>
      <w:r>
        <w:t xml:space="preserve">‘not applicable’</w:t>
      </w:r>
    </w:p>
    <w:p>
      <w:pPr>
        <w:pStyle w:val="FirstParagraph"/>
      </w:pPr>
      <w:r>
        <w:t xml:space="preserve">These two statuses are often confused but mean very different things; using both correctly is just as important</w:t>
      </w:r>
      <w:r>
        <w:t xml:space="preserve"> </w:t>
      </w:r>
      <w:r>
        <w:t xml:space="preserve">to the matrix’s credibility as the requirement statuses themselves: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Not met:</w:t>
      </w:r>
      <w:r>
        <w:t xml:space="preserve"> </w:t>
      </w:r>
      <w:r>
        <w:t xml:space="preserve">the requirement</w:t>
      </w:r>
      <w:r>
        <w:t xml:space="preserve"> </w:t>
      </w:r>
      <w:r>
        <w:rPr>
          <w:b/>
          <w:bCs/>
        </w:rPr>
        <w:t xml:space="preserve">applies</w:t>
      </w:r>
      <w:r>
        <w:t xml:space="preserve"> </w:t>
      </w:r>
      <w:r>
        <w:t xml:space="preserve">to the product but is</w:t>
      </w:r>
      <w:r>
        <w:t xml:space="preserve"> </w:t>
      </w:r>
      <w:r>
        <w:rPr>
          <w:b/>
          <w:bCs/>
        </w:rPr>
        <w:t xml:space="preserve">not yet satisfied</w:t>
      </w:r>
      <w:r>
        <w:t xml:space="preserve">. This is a</w:t>
      </w:r>
      <w:r>
        <w:t xml:space="preserve"> </w:t>
      </w:r>
      <w:r>
        <w:rPr>
          <w:b/>
          <w:bCs/>
        </w:rPr>
        <w:t xml:space="preserve">gap</w:t>
      </w:r>
      <w:r>
        <w:t xml:space="preserve">; it is</w:t>
      </w:r>
      <w:r>
        <w:t xml:space="preserve"> </w:t>
      </w:r>
      <w:r>
        <w:t xml:space="preserve">written into the residual risk and goes into the next release plan.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Not applicable:</w:t>
      </w:r>
      <w:r>
        <w:t xml:space="preserve"> </w:t>
      </w:r>
      <w:r>
        <w:t xml:space="preserve">the requirement</w:t>
      </w:r>
      <w:r>
        <w:t xml:space="preserve"> </w:t>
      </w:r>
      <w:r>
        <w:rPr>
          <w:b/>
          <w:bCs/>
        </w:rPr>
        <w:t xml:space="preserve">does not apply</w:t>
      </w:r>
      <w:r>
        <w:t xml:space="preserve"> </w:t>
      </w:r>
      <w:r>
        <w:t xml:space="preserve">to the product at all (e.g., if the product does not use</w:t>
      </w:r>
      <w:r>
        <w:t xml:space="preserve"> </w:t>
      </w:r>
      <w:r>
        <w:t xml:space="preserve">network connectivity,</w:t>
      </w:r>
      <w:r>
        <w:t xml:space="preserve"> </w:t>
      </w:r>
      <w:r>
        <w:t xml:space="preserve">“data in transit”</w:t>
      </w:r>
      <w:r>
        <w:t xml:space="preserve"> </w:t>
      </w:r>
      <w:r>
        <w:t xml:space="preserve">requirements are not applicable). This is not a gap, but if written</w:t>
      </w:r>
      <w:r>
        <w:t xml:space="preserve"> </w:t>
      </w:r>
      <w:r>
        <w:t xml:space="preserve">without a rationale, the evaluator treats it as</w:t>
      </w:r>
      <w:r>
        <w:t xml:space="preserve"> </w:t>
      </w:r>
      <w:r>
        <w:t xml:space="preserve">“the requirement was skipped, not checked.”</w:t>
      </w:r>
    </w:p>
    <w:p>
      <w:pPr>
        <w:pStyle w:val="FirstParagraph"/>
      </w:pPr>
      <w:r>
        <w:t xml:space="preserve">Rule: whenever you write</w:t>
      </w:r>
      <w:r>
        <w:t xml:space="preserve"> </w:t>
      </w:r>
      <w:r>
        <w:t xml:space="preserve">“not applicable,”</w:t>
      </w:r>
      <w:r>
        <w:t xml:space="preserve"> </w:t>
      </w:r>
      <w:r>
        <w:t xml:space="preserve">always add one sentence stating</w:t>
      </w:r>
      <w:r>
        <w:t xml:space="preserve"> </w:t>
      </w:r>
      <w:r>
        <w:rPr>
          <w:b/>
          <w:bCs/>
        </w:rPr>
        <w:t xml:space="preserve">why</w:t>
      </w:r>
      <w:r>
        <w:t xml:space="preserve"> </w:t>
      </w:r>
      <w:r>
        <w:t xml:space="preserve">it does not apply. A</w:t>
      </w:r>
      <w:r>
        <w:t xml:space="preserve"> </w:t>
      </w:r>
      <w:r>
        <w:t xml:space="preserve">“not</w:t>
      </w:r>
      <w:r>
        <w:t xml:space="preserve"> </w:t>
      </w:r>
      <w:r>
        <w:t xml:space="preserve">applicable”</w:t>
      </w:r>
      <w:r>
        <w:t xml:space="preserve"> </w:t>
      </w:r>
      <w:r>
        <w:t xml:space="preserve">with no rationale is just as untrustworthy as a</w:t>
      </w:r>
      <w:r>
        <w:t xml:space="preserve"> </w:t>
      </w:r>
      <w:r>
        <w:t xml:space="preserve">“met”</w:t>
      </w:r>
      <w:r>
        <w:t xml:space="preserve"> </w:t>
      </w:r>
      <w:r>
        <w:t xml:space="preserve">with no evidence — in the evaluator’s eyes, both</w:t>
      </w:r>
      <w:r>
        <w:t xml:space="preserve"> </w:t>
      </w:r>
      <w:r>
        <w:t xml:space="preserve">can mean</w:t>
      </w:r>
      <w:r>
        <w:t xml:space="preserve"> </w:t>
      </w:r>
      <w:r>
        <w:t xml:space="preserve">“not checked.”</w:t>
      </w:r>
    </w:p>
    <w:bookmarkEnd w:id="37"/>
    <w:bookmarkStart w:id="38" w:name="X73952efcdb902ed4c7c60c530230651db6cba70"/>
    <w:p>
      <w:pPr>
        <w:pStyle w:val="Heading3"/>
      </w:pPr>
      <w:r>
        <w:t xml:space="preserve">The six status/decision words we’ve seen in this section</w:t>
      </w:r>
    </w:p>
    <w:p>
      <w:pPr>
        <w:pStyle w:val="FirstParagraph"/>
      </w:pPr>
      <w:r>
        <w:t xml:space="preserve">Let’s gather the status and decision words we’ve seen throughout this section; these are the words you’ll use</w:t>
      </w:r>
      <w:r>
        <w:t xml:space="preserve"> </w:t>
      </w:r>
      <w:r>
        <w:t xml:space="preserve">over and over when filling in S17 and S14 in your term project: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Word</w:t>
            </w:r>
          </w:p>
        </w:tc>
        <w:tc>
          <w:tcPr/>
          <w:p>
            <w:pPr>
              <w:pStyle w:val="Compact"/>
            </w:pPr>
            <w:r>
              <w:t xml:space="preserve">When to use it</w:t>
            </w:r>
          </w:p>
        </w:tc>
        <w:tc>
          <w:tcPr/>
          <w:p>
            <w:pPr>
              <w:pStyle w:val="Compact"/>
            </w:pPr>
            <w:r>
              <w:t xml:space="preserve">What must accompany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Met</w:t>
            </w:r>
          </w:p>
        </w:tc>
        <w:tc>
          <w:tcPr/>
          <w:p>
            <w:pPr>
              <w:pStyle w:val="Compact"/>
            </w:pPr>
            <w:r>
              <w:t xml:space="preserve">The product satisfies the requirement itself</w:t>
            </w:r>
          </w:p>
        </w:tc>
        <w:tc>
          <w:tcPr/>
          <w:p>
            <w:pPr>
              <w:pStyle w:val="Compact"/>
            </w:pPr>
            <w:r>
              <w:t xml:space="preserve">Control + verification + evidence (Section 2)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Deferred</w:t>
            </w:r>
          </w:p>
        </w:tc>
        <w:tc>
          <w:tcPr/>
          <w:p>
            <w:pPr>
              <w:pStyle w:val="Compact"/>
            </w:pPr>
            <w:r>
              <w:t xml:space="preserve">Another party satisfies it</w:t>
            </w:r>
          </w:p>
        </w:tc>
        <w:tc>
          <w:tcPr/>
          <w:p>
            <w:pPr>
              <w:pStyle w:val="Compact"/>
            </w:pPr>
            <w:r>
              <w:t xml:space="preserve">To whom + why + how (this section, Section 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met</w:t>
            </w:r>
          </w:p>
        </w:tc>
        <w:tc>
          <w:tcPr/>
          <w:p>
            <w:pPr>
              <w:pStyle w:val="Compact"/>
            </w:pPr>
            <w:r>
              <w:t xml:space="preserve">Applies but not yet satisfied</w:t>
            </w:r>
          </w:p>
        </w:tc>
        <w:tc>
          <w:tcPr/>
          <w:p>
            <w:pPr>
              <w:pStyle w:val="Compact"/>
            </w:pPr>
            <w:r>
              <w:t xml:space="preserve">Residual risk + planned fix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applicable</w:t>
            </w:r>
          </w:p>
        </w:tc>
        <w:tc>
          <w:tcPr/>
          <w:p>
            <w:pPr>
              <w:pStyle w:val="Compact"/>
            </w:pPr>
            <w:r>
              <w:t xml:space="preserve">Does not apply to the product at all</w:t>
            </w:r>
          </w:p>
        </w:tc>
        <w:tc>
          <w:tcPr/>
          <w:p>
            <w:pPr>
              <w:pStyle w:val="Compact"/>
            </w:pPr>
            <w:r>
              <w:t xml:space="preserve">Rationale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must (MUST)</w:t>
            </w:r>
          </w:p>
        </w:tc>
        <w:tc>
          <w:tcPr/>
          <w:p>
            <w:pPr>
              <w:pStyle w:val="Compact"/>
            </w:pPr>
            <w:r>
              <w:t xml:space="preserve">Mandatory</w:t>
            </w:r>
          </w:p>
        </w:tc>
        <w:tc>
          <w:tcPr/>
          <w:p>
            <w:pPr>
              <w:pStyle w:val="Compact"/>
            </w:pPr>
            <w:r>
              <w:t xml:space="preserve">A direct finding if not met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should (SHOULD)</w:t>
            </w:r>
          </w:p>
        </w:tc>
        <w:tc>
          <w:tcPr/>
          <w:p>
            <w:pPr>
              <w:pStyle w:val="Compact"/>
            </w:pPr>
            <w:r>
              <w:t xml:space="preserve">Strong recommendation</w:t>
            </w:r>
          </w:p>
        </w:tc>
        <w:tc>
          <w:tcPr/>
          <w:p>
            <w:pPr>
              <w:pStyle w:val="Compact"/>
            </w:pPr>
            <w:r>
              <w:t xml:space="preserve">A written rationale if not met</w:t>
            </w:r>
          </w:p>
        </w:tc>
      </w:tr>
    </w:tbl>
    <w:p>
      <w:pPr>
        <w:pStyle w:val="BodyText"/>
      </w:pPr>
      <w:r>
        <w:t xml:space="preserve">Keeping this table in mind will give you a reference point as you read every example in the sections ahead.</w:t>
      </w:r>
    </w:p>
    <w:bookmarkEnd w:id="38"/>
    <w:bookmarkStart w:id="39" w:name="now-were-ready"/>
    <w:p>
      <w:pPr>
        <w:pStyle w:val="Heading3"/>
      </w:pPr>
      <w:r>
        <w:t xml:space="preserve">Now we’re ready</w:t>
      </w:r>
    </w:p>
    <w:p>
      <w:pPr>
        <w:pStyle w:val="FirstParagraph"/>
      </w:pPr>
      <w:r>
        <w:t xml:space="preserve">Terms:</w:t>
      </w:r>
    </w:p>
    <w:p>
      <w:pPr>
        <w:pStyle w:val="BodyText"/>
      </w:pPr>
      <w:r>
        <w:t xml:space="preserve">requirement (functional/assurance/process) · traceability · compliance matrix · status (met/deferred/not met) ·</w:t>
      </w:r>
      <w:r>
        <w:t xml:space="preserve"> </w:t>
      </w:r>
      <w:r>
        <w:t xml:space="preserve">deferred · CC (TOE/ST/PP/SFR/SAR/EAL) · FIPS 140-3 · ETSI/GSMA/EMVCo/PCI/MASVS</w:t>
      </w:r>
    </w:p>
    <w:p>
      <w:pPr>
        <w:pStyle w:val="BodyText"/>
      </w:pPr>
      <w:r>
        <w:t xml:space="preserve">Now: how do you write a good requirement?</w:t>
      </w:r>
    </w:p>
    <w:bookmarkEnd w:id="39"/>
    <w:bookmarkEnd w:id="40"/>
    <w:bookmarkStart w:id="54" w:name="X1023bba8bf02bbdd0bea3c00558bf984979d21e"/>
    <w:p>
      <w:pPr>
        <w:pStyle w:val="Heading2"/>
      </w:pPr>
      <w:r>
        <w:t xml:space="preserve">1. What is a security requirement? How do you write a good one?</w:t>
      </w:r>
    </w:p>
    <w:p>
      <w:pPr>
        <w:pStyle w:val="FirstParagraph"/>
      </w:pPr>
      <w:r>
        <w:t xml:space="preserve">Throughout the term we linked every control to a threat:</w:t>
      </w:r>
      <w:r>
        <w:t xml:space="preserve"> </w:t>
      </w:r>
      <w:r>
        <w:t xml:space="preserve">“we protect this asset against this attacker.”</w:t>
      </w:r>
      <w:r>
        <w:t xml:space="preserve"> </w:t>
      </w:r>
      <w:r>
        <w:t xml:space="preserve">In the</w:t>
      </w:r>
      <w:r>
        <w:t xml:space="preserve"> </w:t>
      </w:r>
      <w:r>
        <w:t xml:space="preserve">certification world, the same link extends one step further: every control is linked to a</w:t>
      </w:r>
      <w:r>
        <w:t xml:space="preserve"> </w:t>
      </w:r>
      <w:r>
        <w:rPr>
          <w:b/>
          <w:bCs/>
        </w:rPr>
        <w:t xml:space="preserve">requirement</w:t>
      </w:r>
      <w:r>
        <w:t xml:space="preserve">. A</w:t>
      </w:r>
      <w:r>
        <w:t xml:space="preserve"> </w:t>
      </w:r>
      <w:r>
        <w:t xml:space="preserve">requirement states</w:t>
      </w:r>
      <w:r>
        <w:t xml:space="preserve"> </w:t>
      </w:r>
      <w:r>
        <w:rPr>
          <w:b/>
          <w:bCs/>
        </w:rPr>
        <w:t xml:space="preserve">what</w:t>
      </w:r>
      <w:r>
        <w:t xml:space="preserve"> </w:t>
      </w:r>
      <w:r>
        <w:t xml:space="preserve">the product must do; it does not say how. Design and code answer the</w:t>
      </w:r>
      <w:r>
        <w:t xml:space="preserve"> </w:t>
      </w:r>
      <w:r>
        <w:t xml:space="preserve">“how”</w:t>
      </w:r>
      <w:r>
        <w:t xml:space="preserve">; the</w:t>
      </w:r>
      <w:r>
        <w:t xml:space="preserve"> </w:t>
      </w:r>
      <w:r>
        <w:t xml:space="preserve">evaluator instead asks</w:t>
      </w:r>
      <w:r>
        <w:t xml:space="preserve"> </w:t>
      </w:r>
      <w:r>
        <w:t xml:space="preserve">“has the requirement been met, and where is the evidence?”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From a bad requirement to a good one" title="" id="42" name="Picture"/>
            <a:graphic>
              <a:graphicData uri="http://schemas.openxmlformats.org/drawingml/2006/picture">
                <pic:pic>
                  <pic:nvPicPr>
                    <pic:cNvPr descr="h13-04-kotu-iyi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759999" cy="2687780"/>
            <wp:effectExtent b="0" l="0" r="0" t="0"/>
            <wp:docPr descr="The criteria of a good requirement" title="" id="45" name="Picture"/>
            <a:graphic>
              <a:graphicData uri="http://schemas.openxmlformats.org/drawingml/2006/picture">
                <pic:pic>
                  <pic:nvPicPr>
                    <pic:cNvPr descr="h13-03-iyi-gereksinim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687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A short history: how did security requirements become standardized?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1985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TCSEC</w:t>
      </w:r>
      <w:r>
        <w:t xml:space="preserve"> </w:t>
      </w:r>
      <w:r>
        <w:t xml:space="preserve">(the</w:t>
      </w:r>
      <w:r>
        <w:t xml:space="preserve"> </w:t>
      </w:r>
      <w:r>
        <w:t xml:space="preserve">“Orange Book”</w:t>
      </w:r>
      <w:r>
        <w:t xml:space="preserve">) formalizes security</w:t>
      </w:r>
      <w:r>
        <w:t xml:space="preserve"> </w:t>
      </w:r>
      <w:r>
        <w:rPr>
          <w:b/>
          <w:bCs/>
        </w:rPr>
        <w:t xml:space="preserve">requirement levels</w:t>
      </w:r>
      <w:r>
        <w:t xml:space="preserve"> </w:t>
      </w:r>
      <w:r>
        <w:t xml:space="preserve">for the first time.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1994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FIPS 140</w:t>
      </w:r>
      <w:r>
        <w:t xml:space="preserve"> </w:t>
      </w:r>
      <w:r>
        <w:t xml:space="preserve">cryptographic module requirements (today</w:t>
      </w:r>
      <w:r>
        <w:t xml:space="preserve"> </w:t>
      </w:r>
      <w:r>
        <w:rPr>
          <w:b/>
          <w:bCs/>
        </w:rPr>
        <w:t xml:space="preserve">140-3</w:t>
      </w:r>
      <w:r>
        <w:t xml:space="preserve">, 2019).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1999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Common Criteria (ISO/IEC 15408)</w:t>
      </w:r>
      <w:r>
        <w:t xml:space="preserve">: the</w:t>
      </w:r>
      <w:r>
        <w:t xml:space="preserve"> </w:t>
      </w:r>
      <w:r>
        <w:rPr>
          <w:b/>
          <w:bCs/>
        </w:rPr>
        <w:t xml:space="preserve">PP/ST</w:t>
      </w:r>
      <w:r>
        <w:t xml:space="preserve">,</w:t>
      </w:r>
      <w:r>
        <w:t xml:space="preserve"> </w:t>
      </w:r>
      <w:r>
        <w:rPr>
          <w:b/>
          <w:bCs/>
        </w:rPr>
        <w:t xml:space="preserve">SFR/SAR</w:t>
      </w:r>
      <w:r>
        <w:t xml:space="preserve">, and</w:t>
      </w:r>
      <w:r>
        <w:t xml:space="preserve"> </w:t>
      </w:r>
      <w:r>
        <w:rPr>
          <w:b/>
          <w:bCs/>
        </w:rPr>
        <w:t xml:space="preserve">EAL</w:t>
      </w:r>
      <w:r>
        <w:t xml:space="preserve"> </w:t>
      </w:r>
      <w:r>
        <w:t xml:space="preserve">concepts come from</w:t>
      </w:r>
      <w:r>
        <w:t xml:space="preserve"> </w:t>
      </w:r>
      <w:r>
        <w:t xml:space="preserve">here (Week 12’s process).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2010s</w:t>
      </w:r>
      <w:r>
        <w:t xml:space="preserve"> </w:t>
      </w:r>
      <w:r>
        <w:t xml:space="preserve">— sector-specific sets:</w:t>
      </w:r>
      <w:r>
        <w:t xml:space="preserve"> </w:t>
      </w:r>
      <w:r>
        <w:rPr>
          <w:b/>
          <w:bCs/>
        </w:rPr>
        <w:t xml:space="preserve">OWASP MASVS/MASTG</w:t>
      </w:r>
      <w:r>
        <w:t xml:space="preserve"> </w:t>
      </w:r>
      <w:r>
        <w:t xml:space="preserve">for mobile,</w:t>
      </w:r>
      <w:r>
        <w:t xml:space="preserve"> </w:t>
      </w:r>
      <w:r>
        <w:rPr>
          <w:b/>
          <w:bCs/>
        </w:rPr>
        <w:t xml:space="preserve">ETSI EN 303 645</w:t>
      </w:r>
      <w:r>
        <w:t xml:space="preserve"> </w:t>
      </w:r>
      <w:r>
        <w:t xml:space="preserve">for consumer IoT,</w:t>
      </w:r>
      <w:r>
        <w:t xml:space="preserve"> </w:t>
      </w:r>
      <w:r>
        <w:rPr>
          <w:b/>
          <w:bCs/>
        </w:rPr>
        <w:t xml:space="preserve">EMVCo/PCI</w:t>
      </w:r>
      <w:r>
        <w:t xml:space="preserve"> </w:t>
      </w:r>
      <w:r>
        <w:t xml:space="preserve">for payments.</w:t>
      </w:r>
    </w:p>
    <w:p>
      <w:pPr>
        <w:pStyle w:val="BlockText"/>
      </w:pPr>
      <w:r>
        <w:t xml:space="preserve">The unchanging principle: a good requirement must be</w:t>
      </w:r>
      <w:r>
        <w:t xml:space="preserve"> </w:t>
      </w:r>
      <w:r>
        <w:rPr>
          <w:b/>
          <w:bCs/>
        </w:rPr>
        <w:t xml:space="preserve">measurable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traceable</w:t>
      </w:r>
      <w:r>
        <w:t xml:space="preserve">; a</w:t>
      </w:r>
      <w:r>
        <w:t xml:space="preserve"> </w:t>
      </w:r>
      <w:r>
        <w:t xml:space="preserve">“met”</w:t>
      </w:r>
      <w:r>
        <w:t xml:space="preserve"> </w:t>
      </w:r>
      <w:r>
        <w:t xml:space="preserve">with no</w:t>
      </w:r>
      <w:r>
        <w:t xml:space="preserve"> </w:t>
      </w:r>
      <w:r>
        <w:t xml:space="preserve">evidence is invalid.</w:t>
      </w:r>
    </w:p>
    <w:bookmarkStart w:id="47" w:name="three-types-of-requirement-1"/>
    <w:p>
      <w:pPr>
        <w:pStyle w:val="Heading3"/>
      </w:pPr>
      <w:r>
        <w:t xml:space="preserve">Three types of requirement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Functional security requirement</w:t>
            </w:r>
          </w:p>
        </w:tc>
        <w:tc>
          <w:tcPr/>
          <w:p>
            <w:pPr>
              <w:pStyle w:val="Compact"/>
            </w:pPr>
            <w:r>
              <w:t xml:space="preserve">Which security function must the product perform?</w:t>
            </w:r>
          </w:p>
        </w:tc>
        <w:tc>
          <w:tcPr/>
          <w:p>
            <w:pPr>
              <w:pStyle w:val="Compact"/>
            </w:pPr>
            <w:r>
              <w:t xml:space="preserve">“The application must protect sensitive data in the local database with authenticated encryption.”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Assurance requirement</w:t>
            </w:r>
          </w:p>
        </w:tc>
        <w:tc>
          <w:tcPr/>
          <w:p>
            <w:pPr>
              <w:pStyle w:val="Compact"/>
            </w:pPr>
            <w:r>
              <w:t xml:space="preserve">How will we trust that the product performs this function correctly?</w:t>
            </w:r>
          </w:p>
        </w:tc>
        <w:tc>
          <w:tcPr/>
          <w:p>
            <w:pPr>
              <w:pStyle w:val="Compact"/>
            </w:pPr>
            <w:r>
              <w:t xml:space="preserve">“The developer must provide the source code’s static-analysis report and the results of the security tests.”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Process requirement</w:t>
            </w:r>
          </w:p>
        </w:tc>
        <w:tc>
          <w:tcPr/>
          <w:p>
            <w:pPr>
              <w:pStyle w:val="Compact"/>
            </w:pPr>
            <w:r>
              <w:t xml:space="preserve">How must the organisation that produces the product operate?</w:t>
            </w:r>
          </w:p>
        </w:tc>
        <w:tc>
          <w:tcPr/>
          <w:p>
            <w:pPr>
              <w:pStyle w:val="Compact"/>
            </w:pPr>
            <w:r>
              <w:t xml:space="preserve">“Every change must be reviewed by at least one other developer before being merged.”</w:t>
            </w:r>
          </w:p>
        </w:tc>
      </w:tr>
    </w:tbl>
    <w:bookmarkEnd w:id="47"/>
    <w:bookmarkStart w:id="48" w:name="bad-and-good-requirements"/>
    <w:p>
      <w:pPr>
        <w:pStyle w:val="Heading3"/>
      </w:pPr>
      <w:r>
        <w:t xml:space="preserve">Bad and good requirements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Bad</w:t>
            </w:r>
          </w:p>
        </w:tc>
        <w:tc>
          <w:tcPr/>
          <w:p>
            <w:pPr>
              <w:pStyle w:val="Compact"/>
            </w:pPr>
            <w:r>
              <w:t xml:space="preserve">Why is it bad?</w:t>
            </w:r>
          </w:p>
        </w:tc>
        <w:tc>
          <w:tcPr/>
          <w:p>
            <w:pPr>
              <w:pStyle w:val="Compact"/>
            </w:pPr>
            <w:r>
              <w:t xml:space="preserve">Good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“The application must be secure.”</w:t>
            </w:r>
          </w:p>
        </w:tc>
        <w:tc>
          <w:tcPr/>
          <w:p>
            <w:pPr>
              <w:pStyle w:val="Compact"/>
            </w:pPr>
            <w:r>
              <w:t xml:space="preserve">Unverifiable</w:t>
            </w:r>
          </w:p>
        </w:tc>
        <w:tc>
          <w:tcPr/>
          <w:p>
            <w:pPr>
              <w:pStyle w:val="Compact"/>
            </w:pPr>
            <w:r>
              <w:t xml:space="preserve">“The application’s release build must be compiled with a stack canary, PIE, and full RELRO enabled.”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“Data must be encrypted.”</w:t>
            </w:r>
          </w:p>
        </w:tc>
        <w:tc>
          <w:tcPr/>
          <w:p>
            <w:pPr>
              <w:pStyle w:val="Compact"/>
            </w:pPr>
            <w:r>
              <w:t xml:space="preserve">Which data, in what state, at what strength?</w:t>
            </w:r>
          </w:p>
        </w:tc>
        <w:tc>
          <w:tcPr/>
          <w:p>
            <w:pPr>
              <w:pStyle w:val="Compact"/>
            </w:pPr>
            <w:r>
              <w:t xml:space="preserve">“Every asset marked C in the asset table must be encrypted at rest with an AEAD algorithm providing at least a 128-bit security level.”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“Keys must be protected and well managed.”</w:t>
            </w:r>
          </w:p>
        </w:tc>
        <w:tc>
          <w:tcPr/>
          <w:p>
            <w:pPr>
              <w:pStyle w:val="Compact"/>
            </w:pPr>
            <w:r>
              <w:t xml:space="preserve">Two requirements at once, no criteria</w:t>
            </w:r>
          </w:p>
        </w:tc>
        <w:tc>
          <w:tcPr/>
          <w:p>
            <w:pPr>
              <w:pStyle w:val="Compact"/>
            </w:pPr>
            <w:r>
              <w:t xml:space="preserve">(1)</w:t>
            </w:r>
            <w:r>
              <w:t xml:space="preserve"> </w:t>
            </w:r>
            <w:r>
              <w:t xml:space="preserve">“Every key’s purpose, cryptoperiod, and destruction time must be documented.”</w:t>
            </w:r>
            <w:r>
              <w:t xml:space="preserve"> </w:t>
            </w:r>
            <w:r>
              <w:t xml:space="preserve">(2)</w:t>
            </w:r>
            <w:r>
              <w:t xml:space="preserve"> </w:t>
            </w:r>
            <w:r>
              <w:t xml:space="preserve">“Keys must be erased from memory once their job is done.”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“The application should try to detect attacks.”</w:t>
            </w:r>
          </w:p>
        </w:tc>
        <w:tc>
          <w:tcPr/>
          <w:p>
            <w:pPr>
              <w:pStyle w:val="Compact"/>
            </w:pPr>
            <w:r>
              <w:t xml:space="preserve">“Should try”</w:t>
            </w:r>
            <w:r>
              <w:t xml:space="preserve"> </w:t>
            </w:r>
            <w:r>
              <w:t xml:space="preserve">is unmeasurable</w:t>
            </w:r>
          </w:p>
        </w:tc>
        <w:tc>
          <w:tcPr/>
          <w:p>
            <w:pPr>
              <w:pStyle w:val="Compact"/>
            </w:pPr>
            <w:r>
              <w:t xml:space="preserve">“The application must refuse sensitive operations and report the event when a debugger is attached.”</w:t>
            </w:r>
          </w:p>
        </w:tc>
      </w:tr>
    </w:tbl>
    <w:p>
      <w:pPr>
        <w:pStyle w:val="BodyText"/>
      </w:pPr>
      <w:r>
        <w:t xml:space="preserve">The properties of a good requirement:</w:t>
      </w:r>
      <w:r>
        <w:t xml:space="preserve"> </w:t>
      </w:r>
      <w:r>
        <w:rPr>
          <w:b/>
          <w:bCs/>
        </w:rPr>
        <w:t xml:space="preserve">singular</w:t>
      </w:r>
      <w:r>
        <w:t xml:space="preserve"> </w:t>
      </w:r>
      <w:r>
        <w:t xml:space="preserve">(one sentence, one requirement),</w:t>
      </w:r>
      <w:r>
        <w:t xml:space="preserve"> </w:t>
      </w:r>
      <w:r>
        <w:rPr>
          <w:b/>
          <w:bCs/>
        </w:rPr>
        <w:t xml:space="preserve">verifiable</w:t>
      </w:r>
      <w:r>
        <w:t xml:space="preserve"> </w:t>
      </w:r>
      <w:r>
        <w:t xml:space="preserve">(it can be</w:t>
      </w:r>
      <w:r>
        <w:t xml:space="preserve"> </w:t>
      </w:r>
      <w:r>
        <w:t xml:space="preserve">shown to be met with a test or review),</w:t>
      </w:r>
      <w:r>
        <w:t xml:space="preserve"> </w:t>
      </w:r>
      <w:r>
        <w:rPr>
          <w:b/>
          <w:bCs/>
        </w:rPr>
        <w:t xml:space="preserve">traceable</w:t>
      </w:r>
      <w:r>
        <w:t xml:space="preserve"> </w:t>
      </w:r>
      <w:r>
        <w:t xml:space="preserve">(it has an id and is linked to a threat or a standard),</w:t>
      </w:r>
      <w:r>
        <w:t xml:space="preserve"> </w:t>
      </w:r>
      <w:r>
        <w:rPr>
          <w:b/>
          <w:bCs/>
        </w:rPr>
        <w:t xml:space="preserve">feasible</w:t>
      </w:r>
      <w:r>
        <w:t xml:space="preserve"> </w:t>
      </w:r>
      <w:r>
        <w:t xml:space="preserve">(technically possible), and</w:t>
      </w:r>
      <w:r>
        <w:t xml:space="preserve"> </w:t>
      </w:r>
      <w:r>
        <w:rPr>
          <w:b/>
          <w:bCs/>
        </w:rPr>
        <w:t xml:space="preserve">what, not how</w:t>
      </w:r>
      <w:r>
        <w:t xml:space="preserve"> </w:t>
      </w:r>
      <w:r>
        <w:t xml:space="preserve">(it doesn’t dictate a solution, but does give criteria</w:t>
      </w:r>
      <w:r>
        <w:t xml:space="preserve"> </w:t>
      </w:r>
      <w:r>
        <w:t xml:space="preserve">such as a security level).</w:t>
      </w:r>
    </w:p>
    <w:p>
      <w:pPr>
        <w:pStyle w:val="BlockText"/>
      </w:pPr>
      <w:r>
        <w:rPr>
          <w:b/>
          <w:bCs/>
        </w:rPr>
        <w:t xml:space="preserve">Requirement keywords</w:t>
      </w:r>
    </w:p>
    <w:p>
      <w:pPr>
        <w:pStyle w:val="BlockText"/>
      </w:pPr>
      <w:r>
        <w:t xml:space="preserve">Standards express the level of obligation with fixed keywords (RFC 2119 / ISO guidelines):</w:t>
      </w:r>
      <w:r>
        <w:t xml:space="preserve"> </w:t>
      </w:r>
      <w:r>
        <w:rPr>
          <w:b/>
          <w:bCs/>
        </w:rPr>
        <w:t xml:space="preserve">must/shall</w:t>
      </w:r>
      <w:r>
        <w:t xml:space="preserve"> </w:t>
      </w:r>
      <w:r>
        <w:t xml:space="preserve">(MUST, SHALL) is mandatory;</w:t>
      </w:r>
      <w:r>
        <w:t xml:space="preserve"> </w:t>
      </w:r>
      <w:r>
        <w:rPr>
          <w:b/>
          <w:bCs/>
        </w:rPr>
        <w:t xml:space="preserve">should</w:t>
      </w:r>
      <w:r>
        <w:t xml:space="preserve"> </w:t>
      </w:r>
      <w:r>
        <w:t xml:space="preserve">(SHOULD) is a strong recommendation that requires a rationale if not</w:t>
      </w:r>
      <w:r>
        <w:t xml:space="preserve"> </w:t>
      </w:r>
      <w:r>
        <w:t xml:space="preserve">followed;</w:t>
      </w:r>
      <w:r>
        <w:t xml:space="preserve"> </w:t>
      </w:r>
      <w:r>
        <w:rPr>
          <w:b/>
          <w:bCs/>
        </w:rPr>
        <w:t xml:space="preserve">may</w:t>
      </w:r>
      <w:r>
        <w:t xml:space="preserve"> </w:t>
      </w:r>
      <w:r>
        <w:t xml:space="preserve">(MAY) is optional. Use this distinction consistently in your own requirements; skipping over</w:t>
      </w:r>
      <w:r>
        <w:t xml:space="preserve"> </w:t>
      </w:r>
      <w:r>
        <w:t xml:space="preserve">a</w:t>
      </w:r>
      <w:r>
        <w:t xml:space="preserve"> </w:t>
      </w:r>
      <w:r>
        <w:t xml:space="preserve">“should”</w:t>
      </w:r>
      <w:r>
        <w:t xml:space="preserve"> </w:t>
      </w:r>
      <w:r>
        <w:t xml:space="preserve">requirement you don’t meet, without writing a rationale, is a gap in the evaluator’s eyes.</w:t>
      </w:r>
    </w:p>
    <w:bookmarkEnd w:id="48"/>
    <w:bookmarkStart w:id="49" w:name="Xd37254caceab02a9b16476e47399fb6e04167cd"/>
    <w:p>
      <w:pPr>
        <w:pStyle w:val="Heading3"/>
      </w:pPr>
      <w:r>
        <w:t xml:space="preserve">Worked example: improving a bad requirement step by step</w:t>
      </w:r>
    </w:p>
    <w:p>
      <w:pPr>
        <w:pStyle w:val="FirstParagraph"/>
      </w:pPr>
      <w:r>
        <w:t xml:space="preserve">You saw the finished results in the table above; now let’s see the</w:t>
      </w:r>
      <w:r>
        <w:t xml:space="preserve"> </w:t>
      </w:r>
      <w:r>
        <w:rPr>
          <w:b/>
          <w:bCs/>
        </w:rPr>
        <w:t xml:space="preserve">process</w:t>
      </w:r>
      <w:r>
        <w:t xml:space="preserve">. Think of the starting sentence as</w:t>
      </w:r>
      <w:r>
        <w:t xml:space="preserve"> </w:t>
      </w:r>
      <w:r>
        <w:t xml:space="preserve">if it were taken from a real guide draft:</w:t>
      </w:r>
    </w:p>
    <w:p>
      <w:pPr>
        <w:pStyle w:val="BlockText"/>
      </w:pPr>
      <w:r>
        <w:t xml:space="preserve">“The application must protect user data.”</w:t>
      </w:r>
    </w:p>
    <w:p>
      <w:pPr>
        <w:pStyle w:val="FirstParagraph"/>
      </w:pPr>
      <w:r>
        <w:rPr>
          <w:b/>
          <w:bCs/>
        </w:rPr>
        <w:t xml:space="preserve">Step 1 — Flag the vague words.</w:t>
      </w:r>
      <w:r>
        <w:t xml:space="preserve"> </w:t>
      </w:r>
      <w:r>
        <w:t xml:space="preserve">“User data”</w:t>
      </w:r>
      <w:r>
        <w:t xml:space="preserve"> </w:t>
      </w:r>
      <w:r>
        <w:t xml:space="preserve">(which data?) and</w:t>
      </w:r>
      <w:r>
        <w:t xml:space="preserve"> </w:t>
      </w:r>
      <w:r>
        <w:t xml:space="preserve">“must protect”</w:t>
      </w:r>
      <w:r>
        <w:t xml:space="preserve"> </w:t>
      </w:r>
      <w:r>
        <w:t xml:space="preserve">(against what, at what level?)</w:t>
      </w:r>
      <w:r>
        <w:t xml:space="preserve"> </w:t>
      </w:r>
      <w:r>
        <w:t xml:space="preserve">cannot be measured. When an evaluator reads this sentence, they find nothing to test; they don’t know what</w:t>
      </w:r>
      <w:r>
        <w:t xml:space="preserve"> </w:t>
      </w:r>
      <w:r>
        <w:t xml:space="preserve">evidence to ask for to call it</w:t>
      </w:r>
      <w:r>
        <w:t xml:space="preserve"> </w:t>
      </w:r>
      <w:r>
        <w:t xml:space="preserve">“protected.”</w:t>
      </w:r>
      <w:r>
        <w:t xml:space="preserve"> </w:t>
      </w:r>
      <w:r>
        <w:t xml:space="preserve">This is the same ailment as the first row of the</w:t>
      </w:r>
      <w:r>
        <w:t xml:space="preserve"> </w:t>
      </w:r>
      <w:r>
        <w:t xml:space="preserve">“good vs. bad</w:t>
      </w:r>
      <w:r>
        <w:t xml:space="preserve"> </w:t>
      </w:r>
      <w:r>
        <w:t xml:space="preserve">requirement”</w:t>
      </w:r>
      <w:r>
        <w:t xml:space="preserve"> </w:t>
      </w:r>
      <w:r>
        <w:t xml:space="preserve">table (</w:t>
      </w:r>
      <w:r>
        <w:t xml:space="preserve">“the application must be secure”</w:t>
      </w:r>
      <w:r>
        <w:t xml:space="preserve">): the sentence says everything and nothing.</w:t>
      </w:r>
    </w:p>
    <w:p>
      <w:pPr>
        <w:pStyle w:val="BlockText"/>
      </w:pPr>
      <w:r>
        <w:t xml:space="preserve">Interim step:</w:t>
      </w:r>
      <w:r>
        <w:t xml:space="preserve"> </w:t>
      </w:r>
      <w:r>
        <w:t xml:space="preserve">“The application must protect user data.”</w:t>
      </w:r>
      <w:r>
        <w:t xml:space="preserve"> </w:t>
      </w:r>
      <w:r>
        <w:t xml:space="preserve">→ it isn’t clear which data, against which threat.</w:t>
      </w:r>
    </w:p>
    <w:p>
      <w:pPr>
        <w:pStyle w:val="FirstParagraph"/>
      </w:pPr>
      <w:r>
        <w:rPr>
          <w:b/>
          <w:bCs/>
        </w:rPr>
        <w:t xml:space="preserve">Step 2 — Link it to the asset table (Week 1).</w:t>
      </w:r>
      <w:r>
        <w:t xml:space="preserve"> </w:t>
      </w:r>
      <w:r>
        <w:t xml:space="preserve">“User data”</w:t>
      </w:r>
      <w:r>
        <w:t xml:space="preserve"> </w:t>
      </w:r>
      <w:r>
        <w:t xml:space="preserve">is not a single thing; it is separate rows in the</w:t>
      </w:r>
      <w:r>
        <w:t xml:space="preserve"> </w:t>
      </w:r>
      <w:r>
        <w:t xml:space="preserve">asset table: session token, profile information, payment token, log records… Each has a different</w:t>
      </w:r>
      <w:r>
        <w:t xml:space="preserve"> </w:t>
      </w:r>
      <w:r>
        <w:t xml:space="preserve">confidentiality/integrity class (C/I/I+/N) and requires a different requirement. In this step, we narrow the</w:t>
      </w:r>
      <w:r>
        <w:t xml:space="preserve"> </w:t>
      </w:r>
      <w:r>
        <w:t xml:space="preserve">single sentence down to</w:t>
      </w:r>
      <w:r>
        <w:t xml:space="preserve"> </w:t>
      </w:r>
      <w:r>
        <w:t xml:space="preserve">“sensitive fields in the local database”</w:t>
      </w:r>
      <w:r>
        <w:t xml:space="preserve"> </w:t>
      </w:r>
      <w:r>
        <w:t xml:space="preserve">marked class</w:t>
      </w:r>
      <w:r>
        <w:t xml:space="preserve"> </w:t>
      </w:r>
      <w:r>
        <w:rPr>
          <w:b/>
          <w:bCs/>
        </w:rPr>
        <w:t xml:space="preserve">C</w:t>
      </w:r>
      <w:r>
        <w:t xml:space="preserve"> </w:t>
      </w:r>
      <w:r>
        <w:t xml:space="preserve">in the asset table.</w:t>
      </w:r>
    </w:p>
    <w:p>
      <w:pPr>
        <w:pStyle w:val="BlockText"/>
      </w:pPr>
      <w:r>
        <w:t xml:space="preserve">Interim step:</w:t>
      </w:r>
      <w:r>
        <w:t xml:space="preserve"> </w:t>
      </w:r>
      <w:r>
        <w:t xml:space="preserve">“Class-C fields in the local database must be protected.”</w:t>
      </w:r>
      <w:r>
        <w:t xml:space="preserve"> </w:t>
      </w:r>
      <w:r>
        <w:t xml:space="preserve">→</w:t>
      </w:r>
      <w:r>
        <w:t xml:space="preserve"> </w:t>
      </w:r>
      <w:r>
        <w:t xml:space="preserve">“must be protected”</w:t>
      </w:r>
      <w:r>
        <w:t xml:space="preserve"> </w:t>
      </w:r>
      <w:r>
        <w:t xml:space="preserve">still isn’t</w:t>
      </w:r>
      <w:r>
        <w:t xml:space="preserve"> </w:t>
      </w:r>
      <w:r>
        <w:t xml:space="preserve">measurable.</w:t>
      </w:r>
    </w:p>
    <w:p>
      <w:pPr>
        <w:pStyle w:val="FirstParagraph"/>
      </w:pPr>
      <w:r>
        <w:rPr>
          <w:b/>
          <w:bCs/>
        </w:rPr>
        <w:t xml:space="preserve">Step 3 — Clarify the protection goal (confidentiality, integrity, or both).</w:t>
      </w:r>
      <w:r>
        <w:t xml:space="preserve"> </w:t>
      </w:r>
      <w:r>
        <w:t xml:space="preserve">In the threat model (Week 1), the</w:t>
      </w:r>
      <w:r>
        <w:t xml:space="preserve"> </w:t>
      </w:r>
      <w:r>
        <w:t xml:space="preserve">threat to this data is</w:t>
      </w:r>
      <w:r>
        <w:t xml:space="preserve"> </w:t>
      </w:r>
      <w:r>
        <w:t xml:space="preserve">“an attacker who compromises the device reads the database file”</w:t>
      </w:r>
      <w:r>
        <w:t xml:space="preserve"> </w:t>
      </w:r>
      <w:r>
        <w:t xml:space="preserve">— that is, a</w:t>
      </w:r>
      <w:r>
        <w:t xml:space="preserve"> </w:t>
      </w:r>
      <w:r>
        <w:rPr>
          <w:b/>
          <w:bCs/>
        </w:rPr>
        <w:t xml:space="preserve">confidentiality</w:t>
      </w:r>
      <w:r>
        <w:t xml:space="preserve"> </w:t>
      </w:r>
      <w:r>
        <w:t xml:space="preserve">threat. But we also ask whether the attacker could modify the file to fool the application —</w:t>
      </w:r>
      <w:r>
        <w:t xml:space="preserve"> </w:t>
      </w:r>
      <w:r>
        <w:t xml:space="preserve">yes, so</w:t>
      </w:r>
      <w:r>
        <w:t xml:space="preserve"> </w:t>
      </w:r>
      <w:r>
        <w:rPr>
          <w:b/>
          <w:bCs/>
        </w:rPr>
        <w:t xml:space="preserve">integrity</w:t>
      </w:r>
      <w:r>
        <w:t xml:space="preserve"> </w:t>
      </w:r>
      <w:r>
        <w:t xml:space="preserve">is needed too. Recognising that both goals are needed at the same time determines the next</w:t>
      </w:r>
      <w:r>
        <w:t xml:space="preserve"> </w:t>
      </w:r>
      <w:r>
        <w:t xml:space="preserve">step.</w:t>
      </w:r>
    </w:p>
    <w:p>
      <w:pPr>
        <w:pStyle w:val="BlockText"/>
      </w:pPr>
      <w:r>
        <w:t xml:space="preserve">Interim step:</w:t>
      </w:r>
      <w:r>
        <w:t xml:space="preserve"> </w:t>
      </w:r>
      <w:r>
        <w:t xml:space="preserve">“The confidentiality and integrity of class-C fields in the local database must be protected.”</w:t>
      </w:r>
      <w:r>
        <w:t xml:space="preserve"> </w:t>
      </w:r>
      <w:r>
        <w:t xml:space="preserve">→</w:t>
      </w:r>
      <w:r>
        <w:t xml:space="preserve"> </w:t>
      </w:r>
      <w:r>
        <w:t xml:space="preserve">there’s still no</w:t>
      </w:r>
      <w:r>
        <w:t xml:space="preserve"> </w:t>
      </w:r>
      <w:r>
        <w:t xml:space="preserve">“how,”</w:t>
      </w:r>
      <w:r>
        <w:t xml:space="preserve"> </w:t>
      </w:r>
      <w:r>
        <w:t xml:space="preserve">no measurable criterion.</w:t>
      </w:r>
    </w:p>
    <w:p>
      <w:pPr>
        <w:pStyle w:val="FirstParagraph"/>
      </w:pPr>
      <w:r>
        <w:rPr>
          <w:b/>
          <w:bCs/>
        </w:rPr>
        <w:t xml:space="preserve">Step 4 — Add a measurable technical criterion (linking to Week 9’s protection rules).</w:t>
      </w:r>
      <w:r>
        <w:t xml:space="preserve"> </w:t>
      </w:r>
      <w:r>
        <w:t xml:space="preserve">The rule we saw in Week</w:t>
      </w:r>
      <w:r>
        <w:t xml:space="preserve"> </w:t>
      </w:r>
      <w:r>
        <w:t xml:space="preserve">9: if you want confidentiality and integrity at the same time, the right tool class is AEAD (see Week 3). This</w:t>
      </w:r>
      <w:r>
        <w:t xml:space="preserve"> </w:t>
      </w:r>
      <w:r>
        <w:t xml:space="preserve">adds a concrete, technology-independent criterion to the requirement; we still aren’t naming a specific library.</w:t>
      </w:r>
    </w:p>
    <w:p>
      <w:pPr>
        <w:pStyle w:val="BlockText"/>
      </w:pPr>
      <w:r>
        <w:t xml:space="preserve">Interim step:</w:t>
      </w:r>
      <w:r>
        <w:t xml:space="preserve"> </w:t>
      </w:r>
      <w:r>
        <w:t xml:space="preserve">“Class-C fields in the local database must be protected with authenticated encryption (AEAD).”</w:t>
      </w:r>
      <w:r>
        <w:t xml:space="preserve"> </w:t>
      </w:r>
      <w:r>
        <w:t xml:space="preserve">→</w:t>
      </w:r>
      <w:r>
        <w:t xml:space="preserve"> </w:t>
      </w:r>
      <w:r>
        <w:t xml:space="preserve">what strength, and when it will be verified, are still not written.</w:t>
      </w:r>
    </w:p>
    <w:p>
      <w:pPr>
        <w:pStyle w:val="FirstParagraph"/>
      </w:pPr>
      <w:r>
        <w:rPr>
          <w:b/>
          <w:bCs/>
        </w:rPr>
        <w:t xml:space="preserve">Step 5 — Add the state (at rest/in use/in transit) and the keyword.</w:t>
      </w:r>
      <w:r>
        <w:t xml:space="preserve"> </w:t>
      </w:r>
      <w:r>
        <w:t xml:space="preserve">The data here is</w:t>
      </w:r>
      <w:r>
        <w:t xml:space="preserve"> </w:t>
      </w:r>
      <w:r>
        <w:rPr>
          <w:b/>
          <w:bCs/>
        </w:rPr>
        <w:t xml:space="preserve">at rest</w:t>
      </w:r>
      <w:r>
        <w:t xml:space="preserve"> </w:t>
      </w:r>
      <w:r>
        <w:t xml:space="preserve">(it sits on</w:t>
      </w:r>
      <w:r>
        <w:t xml:space="preserve"> </w:t>
      </w:r>
      <w:r>
        <w:t xml:space="preserve">disk, it isn’t being transferred). We choose</w:t>
      </w:r>
      <w:r>
        <w:t xml:space="preserve"> </w:t>
      </w:r>
      <w:r>
        <w:t xml:space="preserve">“must”</w:t>
      </w:r>
      <w:r>
        <w:t xml:space="preserve"> </w:t>
      </w:r>
      <w:r>
        <w:t xml:space="preserve">(MUST) as the keyword because this is an indispensable</w:t>
      </w:r>
      <w:r>
        <w:t xml:space="preserve"> </w:t>
      </w:r>
      <w:r>
        <w:t xml:space="preserve">condition against the threat; if it were</w:t>
      </w:r>
      <w:r>
        <w:t xml:space="preserve"> </w:t>
      </w:r>
      <w:r>
        <w:t xml:space="preserve">“may”</w:t>
      </w:r>
      <w:r>
        <w:t xml:space="preserve"> </w:t>
      </w:r>
      <w:r>
        <w:t xml:space="preserve">(MAY), the evaluator would treat it as optional and would not</w:t>
      </w:r>
      <w:r>
        <w:t xml:space="preserve"> </w:t>
      </w:r>
      <w:r>
        <w:t xml:space="preserve">write a finding even if it wasn’t met.</w:t>
      </w:r>
    </w:p>
    <w:p>
      <w:pPr>
        <w:pStyle w:val="BlockText"/>
      </w:pPr>
      <w:r>
        <w:t xml:space="preserve">Interim step:</w:t>
      </w:r>
      <w:r>
        <w:t xml:space="preserve"> </w:t>
      </w:r>
      <w:r>
        <w:t xml:space="preserve">“Sensitive class-C data at rest must be protected with authenticated encryption (AEAD).”</w:t>
      </w:r>
      <w:r>
        <w:t xml:space="preserve"> </w:t>
      </w:r>
      <w:r>
        <w:t xml:space="preserve">→ the</w:t>
      </w:r>
      <w:r>
        <w:t xml:space="preserve"> </w:t>
      </w:r>
      <w:r>
        <w:t xml:space="preserve">verification method is still not written; this is stated in the traceability matrix (Section 2), not in the</w:t>
      </w:r>
      <w:r>
        <w:t xml:space="preserve"> </w:t>
      </w:r>
      <w:r>
        <w:t xml:space="preserve">requirement text itself.</w:t>
      </w:r>
    </w:p>
    <w:p>
      <w:pPr>
        <w:pStyle w:val="FirstParagraph"/>
      </w:pPr>
      <w:r>
        <w:rPr>
          <w:b/>
          <w:bCs/>
        </w:rPr>
        <w:t xml:space="preserve">Step 6 — Give it an id and link it to the threat.</w:t>
      </w:r>
      <w:r>
        <w:t xml:space="preserve"> </w:t>
      </w:r>
      <w:r>
        <w:t xml:space="preserve">Finally we give the requirement an id from the course’s</w:t>
      </w:r>
      <w:r>
        <w:t xml:space="preserve"> </w:t>
      </w:r>
      <w:r>
        <w:t xml:space="preserve">family scheme (Section 8) and note which threat it corresponds to; a requirement with no id never enters the</w:t>
      </w:r>
      <w:r>
        <w:t xml:space="preserve"> </w:t>
      </w:r>
      <w:r>
        <w:t xml:space="preserve">traceability chain.</w:t>
      </w:r>
    </w:p>
    <w:p>
      <w:pPr>
        <w:pStyle w:val="BlockText"/>
      </w:pPr>
      <w:r>
        <w:rPr>
          <w:b/>
          <w:bCs/>
        </w:rPr>
        <w:t xml:space="preserve">Final form:</w:t>
      </w:r>
      <w:r>
        <w:t xml:space="preserve"> </w:t>
      </w:r>
      <w:r>
        <w:rPr>
          <w:rStyle w:val="VerbatimChar"/>
        </w:rPr>
        <w:t xml:space="preserve">CEN429-DR-01</w:t>
      </w:r>
      <w:r>
        <w:t xml:space="preserve"> </w:t>
      </w:r>
      <w:r>
        <w:t xml:space="preserve">—</w:t>
      </w:r>
      <w:r>
        <w:t xml:space="preserve"> </w:t>
      </w:r>
      <w:r>
        <w:t xml:space="preserve">“Sensitive class-C data at rest must be protected with authenticated</w:t>
      </w:r>
      <w:r>
        <w:t xml:space="preserve"> </w:t>
      </w:r>
      <w:r>
        <w:t xml:space="preserve">encryption (AEAD).”</w:t>
      </w:r>
      <w:r>
        <w:t xml:space="preserve"> </w:t>
      </w:r>
      <w:r>
        <w:rPr>
          <w:i/>
          <w:iCs/>
        </w:rPr>
        <w:t xml:space="preserve">(Threat: T-03,</w:t>
      </w:r>
      <w:r>
        <w:rPr>
          <w:i/>
          <w:iCs/>
        </w:rPr>
        <w:t xml:space="preserve"> </w:t>
      </w:r>
      <w:r>
        <w:rPr>
          <w:i/>
          <w:iCs/>
        </w:rPr>
        <w:t xml:space="preserve">“an attacker who compromises the device reads/modifies the database file,”</w:t>
      </w:r>
      <w:r>
        <w:rPr>
          <w:i/>
          <w:iCs/>
        </w:rPr>
        <w:t xml:space="preserve"> </w:t>
      </w:r>
      <w:r>
        <w:rPr>
          <w:i/>
          <w:iCs/>
        </w:rPr>
        <w:t xml:space="preserve">Week 1’s threat model.)</w:t>
      </w:r>
    </w:p>
    <w:p>
      <w:pPr>
        <w:pStyle w:val="FirstParagraph"/>
      </w:pPr>
      <w:r>
        <w:t xml:space="preserve">Each of the six steps eliminated one kind of ambiguity:</w:t>
      </w:r>
      <w:r>
        <w:t xml:space="preserve"> </w:t>
      </w:r>
      <w:r>
        <w:rPr>
          <w:b/>
          <w:bCs/>
        </w:rPr>
        <w:t xml:space="preserve">which data</w:t>
      </w:r>
      <w:r>
        <w:t xml:space="preserve"> </w:t>
      </w:r>
      <w:r>
        <w:t xml:space="preserve">(asset table),</w:t>
      </w:r>
      <w:r>
        <w:t xml:space="preserve"> </w:t>
      </w:r>
      <w:r>
        <w:rPr>
          <w:b/>
          <w:bCs/>
        </w:rPr>
        <w:t xml:space="preserve">against which threat</w:t>
      </w:r>
      <w:r>
        <w:t xml:space="preserve"> </w:t>
      </w:r>
      <w:r>
        <w:t xml:space="preserve">(threat model),</w:t>
      </w:r>
      <w:r>
        <w:t xml:space="preserve"> </w:t>
      </w:r>
      <w:r>
        <w:rPr>
          <w:b/>
          <w:bCs/>
        </w:rPr>
        <w:t xml:space="preserve">which goal</w:t>
      </w:r>
      <w:r>
        <w:t xml:space="preserve"> </w:t>
      </w:r>
      <w:r>
        <w:t xml:space="preserve">(confidentiality/integrity),</w:t>
      </w:r>
      <w:r>
        <w:t xml:space="preserve"> </w:t>
      </w:r>
      <w:r>
        <w:rPr>
          <w:b/>
          <w:bCs/>
        </w:rPr>
        <w:t xml:space="preserve">which tool class</w:t>
      </w:r>
      <w:r>
        <w:t xml:space="preserve"> </w:t>
      </w:r>
      <w:r>
        <w:t xml:space="preserve">(AEAD — the class, not the</w:t>
      </w:r>
      <w:r>
        <w:t xml:space="preserve"> </w:t>
      </w:r>
      <w:r>
        <w:t xml:space="preserve">solution itself),</w:t>
      </w:r>
      <w:r>
        <w:t xml:space="preserve"> </w:t>
      </w:r>
      <w:r>
        <w:rPr>
          <w:b/>
          <w:bCs/>
        </w:rPr>
        <w:t xml:space="preserve">which state</w:t>
      </w:r>
      <w:r>
        <w:t xml:space="preserve"> </w:t>
      </w:r>
      <w:r>
        <w:t xml:space="preserve">(at rest), and</w:t>
      </w:r>
      <w:r>
        <w:t xml:space="preserve"> </w:t>
      </w:r>
      <w:r>
        <w:rPr>
          <w:b/>
          <w:bCs/>
        </w:rPr>
        <w:t xml:space="preserve">which obligation</w:t>
      </w:r>
      <w:r>
        <w:t xml:space="preserve"> </w:t>
      </w:r>
      <w:r>
        <w:t xml:space="preserve">(MUST). If any one of these six is missing,</w:t>
      </w:r>
      <w:r>
        <w:t xml:space="preserve"> </w:t>
      </w:r>
      <w:r>
        <w:t xml:space="preserve">the requirement remains open to debate and the evaluator sends it back.</w:t>
      </w:r>
    </w:p>
    <w:bookmarkEnd w:id="49"/>
    <w:bookmarkStart w:id="50" w:name="X07b1597b3ef981b8be75713dbc65c4a9575bd00"/>
    <w:p>
      <w:pPr>
        <w:pStyle w:val="Heading3"/>
      </w:pPr>
      <w:r>
        <w:t xml:space="preserve">Second example: a speed test of the process</w:t>
      </w:r>
    </w:p>
    <w:p>
      <w:pPr>
        <w:pStyle w:val="FirstParagraph"/>
      </w:pPr>
      <w:r>
        <w:t xml:space="preserve">To apply the process faster, let’s go through the same six steps again in a much shorter example; this time as a</w:t>
      </w:r>
      <w:r>
        <w:t xml:space="preserve"> </w:t>
      </w:r>
      <w:r>
        <w:t xml:space="preserve">table: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In this example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Which word is vague?</w:t>
            </w:r>
          </w:p>
        </w:tc>
        <w:tc>
          <w:tcPr/>
          <w:p>
            <w:pPr>
              <w:pStyle w:val="Compact"/>
            </w:pPr>
            <w:r>
              <w:t xml:space="preserve">“The application must be fast and secure.”</w:t>
            </w:r>
            <w:r>
              <w:t xml:space="preserve"> </w:t>
            </w:r>
            <w:r>
              <w:t xml:space="preserve">→ both</w:t>
            </w:r>
            <w:r>
              <w:t xml:space="preserve"> </w:t>
            </w:r>
            <w:r>
              <w:t xml:space="preserve">“fast”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“secure”</w:t>
            </w:r>
            <w:r>
              <w:t xml:space="preserve"> </w:t>
            </w:r>
            <w:r>
              <w:t xml:space="preserve">are unmeasurable, and there are</w:t>
            </w:r>
            <w:r>
              <w:t xml:space="preserve"> </w:t>
            </w:r>
            <w:r>
              <w:rPr>
                <w:b/>
                <w:bCs/>
              </w:rPr>
              <w:t xml:space="preserve">two</w:t>
            </w:r>
            <w:r>
              <w:t xml:space="preserve"> </w:t>
            </w:r>
            <w:r>
              <w:t xml:space="preserve">separate requirements in one sentence.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Which asset/function?</w:t>
            </w:r>
          </w:p>
        </w:tc>
        <w:tc>
          <w:tcPr/>
          <w:p>
            <w:pPr>
              <w:pStyle w:val="Compact"/>
            </w:pPr>
            <w:r>
              <w:t xml:space="preserve">Which function does</w:t>
            </w:r>
            <w:r>
              <w:t xml:space="preserve"> </w:t>
            </w:r>
            <w:r>
              <w:t xml:space="preserve">“secure”</w:t>
            </w:r>
            <w:r>
              <w:t xml:space="preserve"> </w:t>
            </w:r>
            <w:r>
              <w:t xml:space="preserve">cover? Say, the authentication flow.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Which goal?</w:t>
            </w:r>
          </w:p>
        </w:tc>
        <w:tc>
          <w:tcPr/>
          <w:p>
            <w:pPr>
              <w:pStyle w:val="Compact"/>
            </w:pPr>
            <w:r>
              <w:t xml:space="preserve">That authentication cannot be</w:t>
            </w:r>
            <w:r>
              <w:t xml:space="preserve"> </w:t>
            </w:r>
            <w:r>
              <w:rPr>
                <w:b/>
                <w:bCs/>
              </w:rPr>
              <w:t xml:space="preserve">bypassed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Which technical criterion?</w:t>
            </w:r>
          </w:p>
        </w:tc>
        <w:tc>
          <w:tcPr/>
          <w:p>
            <w:pPr>
              <w:pStyle w:val="Compact"/>
            </w:pPr>
            <w:r>
              <w:t xml:space="preserve">Server-side validation; client-side checking alone is not enough.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Which state/obligation?</w:t>
            </w:r>
          </w:p>
        </w:tc>
        <w:tc>
          <w:tcPr/>
          <w:p>
            <w:pPr>
              <w:pStyle w:val="Compact"/>
            </w:pPr>
            <w:r>
              <w:t xml:space="preserve">On every login attempt, MUST.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Id and threat?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CEN429-ID-04</w:t>
            </w:r>
            <w:r>
              <w:t xml:space="preserve">, threat:</w:t>
            </w:r>
            <w:r>
              <w:t xml:space="preserve"> </w:t>
            </w:r>
            <w:r>
              <w:t xml:space="preserve">“an attacker who bypasses the client-side check”</w:t>
            </w:r>
          </w:p>
        </w:tc>
      </w:tr>
    </w:tbl>
    <w:p>
      <w:pPr>
        <w:pStyle w:val="BlockText"/>
      </w:pPr>
      <w:r>
        <w:rPr>
          <w:b/>
          <w:bCs/>
        </w:rPr>
        <w:t xml:space="preserve">Final form:</w:t>
      </w:r>
      <w:r>
        <w:t xml:space="preserve"> </w:t>
      </w:r>
      <w:r>
        <w:rPr>
          <w:rStyle w:val="VerbatimChar"/>
        </w:rPr>
        <w:t xml:space="preserve">CEN429-ID-04</w:t>
      </w:r>
      <w:r>
        <w:t xml:space="preserve"> </w:t>
      </w:r>
      <w:r>
        <w:t xml:space="preserve">—</w:t>
      </w:r>
      <w:r>
        <w:t xml:space="preserve"> </w:t>
      </w:r>
      <w:r>
        <w:t xml:space="preserve">“Every login attempt must be validated server-side; client-side checking alone</w:t>
      </w:r>
      <w:r>
        <w:t xml:space="preserve"> </w:t>
      </w:r>
      <w:r>
        <w:t xml:space="preserve">must not be considered sufficient.”</w:t>
      </w:r>
    </w:p>
    <w:p>
      <w:pPr>
        <w:pStyle w:val="FirstParagraph"/>
      </w:pPr>
      <w:r>
        <w:t xml:space="preserve">The word</w:t>
      </w:r>
      <w:r>
        <w:t xml:space="preserve"> </w:t>
      </w:r>
      <w:r>
        <w:t xml:space="preserve">“fast”</w:t>
      </w:r>
      <w:r>
        <w:t xml:space="preserve"> </w:t>
      </w:r>
      <w:r>
        <w:t xml:space="preserve">is handled as a separate performance requirement (outside this course’s scope) — this is another</w:t>
      </w:r>
      <w:r>
        <w:t xml:space="preserve"> </w:t>
      </w:r>
      <w:r>
        <w:t xml:space="preserve">face of the singularity rule: mixing security and performance requirements in the same sentence blurs which one</w:t>
      </w:r>
      <w:r>
        <w:t xml:space="preserve"> </w:t>
      </w:r>
      <w:r>
        <w:t xml:space="preserve">is met and which isn’t; the two can progress at different paces.</w:t>
      </w:r>
    </w:p>
    <w:p>
      <w:pPr>
        <w:pStyle w:val="BlockText"/>
      </w:pPr>
      <w:r>
        <w:rPr>
          <w:b/>
          <w:bCs/>
        </w:rPr>
        <w:t xml:space="preserve">Common mistake: mistaking</w:t>
      </w:r>
      <w:r>
        <w:rPr>
          <w:b/>
          <w:bCs/>
        </w:rPr>
        <w:t xml:space="preserve"> </w:t>
      </w:r>
      <w:r>
        <w:rPr>
          <w:b/>
          <w:bCs/>
        </w:rPr>
        <w:t xml:space="preserve">‘how’</w:t>
      </w:r>
      <w:r>
        <w:rPr>
          <w:b/>
          <w:bCs/>
        </w:rPr>
        <w:t xml:space="preserve"> </w:t>
      </w:r>
      <w:r>
        <w:rPr>
          <w:b/>
          <w:bCs/>
        </w:rPr>
        <w:t xml:space="preserve">for</w:t>
      </w:r>
      <w:r>
        <w:rPr>
          <w:b/>
          <w:bCs/>
        </w:rPr>
        <w:t xml:space="preserve"> </w:t>
      </w:r>
      <w:r>
        <w:rPr>
          <w:b/>
          <w:bCs/>
        </w:rPr>
        <w:t xml:space="preserve">‘what’</w:t>
      </w:r>
      <w:r>
        <w:rPr>
          <w:b/>
          <w:bCs/>
        </w:rPr>
        <w:t xml:space="preserve"> </w:t>
      </w:r>
      <w:r>
        <w:rPr>
          <w:b/>
          <w:bCs/>
        </w:rPr>
        <w:t xml:space="preserve">and deciding too early</w:t>
      </w:r>
    </w:p>
    <w:p>
      <w:pPr>
        <w:pStyle w:val="BlockText"/>
      </w:pPr>
      <w:r>
        <w:t xml:space="preserve">Teams who write</w:t>
      </w:r>
      <w:r>
        <w:t xml:space="preserve"> </w:t>
      </w:r>
      <w:r>
        <w:t xml:space="preserve">“AES-256-GCM must be used”</w:t>
      </w:r>
      <w:r>
        <w:t xml:space="preserve"> </w:t>
      </w:r>
      <w:r>
        <w:t xml:space="preserve">directly in Step 4, instead of</w:t>
      </w:r>
      <w:r>
        <w:t xml:space="preserve"> </w:t>
      </w:r>
      <w:r>
        <w:t xml:space="preserve">“AEAD must be used,”</w:t>
      </w:r>
      <w:r>
        <w:t xml:space="preserve"> </w:t>
      </w:r>
      <w:r>
        <w:t xml:space="preserve">lock the</w:t>
      </w:r>
      <w:r>
        <w:t xml:space="preserve"> </w:t>
      </w:r>
      <w:r>
        <w:t xml:space="preserve">requirement to a single library version. If the project switches to ChaCha20-Poly1305 the following year, the</w:t>
      </w:r>
      <w:r>
        <w:t xml:space="preserve"> </w:t>
      </w:r>
      <w:r>
        <w:t xml:space="preserve">guide still says</w:t>
      </w:r>
      <w:r>
        <w:t xml:space="preserve"> </w:t>
      </w:r>
      <w:r>
        <w:t xml:space="preserve">“AES-256-GCM,”</w:t>
      </w:r>
      <w:r>
        <w:t xml:space="preserve"> </w:t>
      </w:r>
      <w:r>
        <w:t xml:space="preserve">so either the guide update is forgotten, or the requirement mistakenly appears</w:t>
      </w:r>
      <w:r>
        <w:t xml:space="preserve"> </w:t>
      </w:r>
      <w:r>
        <w:t xml:space="preserve">“not met.”</w:t>
      </w:r>
      <w:r>
        <w:t xml:space="preserve"> </w:t>
      </w:r>
      <w:r>
        <w:rPr>
          <w:b/>
          <w:bCs/>
        </w:rPr>
        <w:t xml:space="preserve">Consequence:</w:t>
      </w:r>
      <w:r>
        <w:t xml:space="preserve"> </w:t>
      </w:r>
      <w:r>
        <w:t xml:space="preserve">unnecessary guide revisions and false</w:t>
      </w:r>
      <w:r>
        <w:t xml:space="preserve"> </w:t>
      </w:r>
      <w:r>
        <w:t xml:space="preserve">“not met”</w:t>
      </w:r>
      <w:r>
        <w:t xml:space="preserve"> </w:t>
      </w:r>
      <w:r>
        <w:t xml:space="preserve">findings.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Write the</w:t>
      </w:r>
      <w:r>
        <w:t xml:space="preserve"> </w:t>
      </w:r>
      <w:r>
        <w:rPr>
          <w:b/>
          <w:bCs/>
        </w:rPr>
        <w:t xml:space="preserve">tool class</w:t>
      </w:r>
      <w:r>
        <w:t xml:space="preserve"> </w:t>
      </w:r>
      <w:r>
        <w:t xml:space="preserve">(AEAD, CSPRNG, TLS 1.2+) in the requirement text; put a specific library/version name</w:t>
      </w:r>
      <w:r>
        <w:t xml:space="preserve"> </w:t>
      </w:r>
      <w:r>
        <w:t xml:space="preserve">not in the requirement but in the</w:t>
      </w:r>
      <w:r>
        <w:t xml:space="preserve"> </w:t>
      </w:r>
      <w:r>
        <w:rPr>
          <w:b/>
          <w:bCs/>
        </w:rPr>
        <w:t xml:space="preserve">control</w:t>
      </w:r>
      <w:r>
        <w:t xml:space="preserve"> </w:t>
      </w:r>
      <w:r>
        <w:t xml:space="preserve">description (the guide section). That way, even if the tool</w:t>
      </w:r>
      <w:r>
        <w:t xml:space="preserve"> </w:t>
      </w:r>
      <w:r>
        <w:t xml:space="preserve">changes, the requirement text stays fixed and only the control is updated.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When an evaluator reads through a requirements list, they ask every sentence three questions:</w:t>
      </w:r>
      <w:r>
        <w:t xml:space="preserve"> </w:t>
      </w:r>
      <w:r>
        <w:t xml:space="preserve">“Does this</w:t>
      </w:r>
      <w:r>
        <w:t xml:space="preserve"> </w:t>
      </w:r>
      <w:r>
        <w:t xml:space="preserve">sentence contain a single condition?”</w:t>
      </w:r>
      <w:r>
        <w:t xml:space="preserve">,</w:t>
      </w:r>
      <w:r>
        <w:t xml:space="preserve"> </w:t>
      </w:r>
      <w:r>
        <w:t xml:space="preserve">“Which test would I run to verify this?”</w:t>
      </w:r>
      <w:r>
        <w:t xml:space="preserve">,</w:t>
      </w:r>
      <w:r>
        <w:t xml:space="preserve"> </w:t>
      </w:r>
      <w:r>
        <w:t xml:space="preserve">“Who proves this sentence was</w:t>
      </w:r>
      <w:r>
        <w:t xml:space="preserve"> </w:t>
      </w:r>
      <w:r>
        <w:t xml:space="preserve">met, and how?”</w:t>
      </w:r>
      <w:r>
        <w:t xml:space="preserve"> </w:t>
      </w:r>
      <w:r>
        <w:t xml:space="preserve">If even one of the three questions can’t be answered clearly, the requirement must be rewritten.</w:t>
      </w:r>
    </w:p>
    <w:bookmarkEnd w:id="50"/>
    <w:bookmarkStart w:id="51" w:name="X63fb3e3ce8fbbd2d30e0c80368680bedc6ea3ce"/>
    <w:p>
      <w:pPr>
        <w:pStyle w:val="Heading3"/>
      </w:pPr>
      <w:r>
        <w:t xml:space="preserve">Reinforcing requirement keywords with an example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Word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  <w:tc>
          <w:tcPr/>
          <w:p>
            <w:pPr>
              <w:pStyle w:val="Compact"/>
            </w:pPr>
            <w:r>
              <w:t xml:space="preserve">Example sentence</w:t>
            </w:r>
          </w:p>
        </w:tc>
        <w:tc>
          <w:tcPr/>
          <w:p>
            <w:pPr>
              <w:pStyle w:val="Compact"/>
            </w:pPr>
            <w:r>
              <w:t xml:space="preserve">What happens if not met?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must (MUST)</w:t>
            </w:r>
          </w:p>
        </w:tc>
        <w:tc>
          <w:tcPr/>
          <w:p>
            <w:pPr>
              <w:pStyle w:val="Compact"/>
            </w:pPr>
            <w:r>
              <w:t xml:space="preserve">Mandatory, no exceptions</w:t>
            </w:r>
          </w:p>
        </w:tc>
        <w:tc>
          <w:tcPr/>
          <w:p>
            <w:pPr>
              <w:pStyle w:val="Compact"/>
            </w:pPr>
            <w:r>
              <w:t xml:space="preserve">“The session token must be carried over TLS 1.2+.”</w:t>
            </w:r>
          </w:p>
        </w:tc>
        <w:tc>
          <w:tcPr/>
          <w:p>
            <w:pPr>
              <w:pStyle w:val="Compact"/>
            </w:pPr>
            <w:r>
              <w:t xml:space="preserve">A direct finding; written into residual risk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should (SHOULD)</w:t>
            </w:r>
          </w:p>
        </w:tc>
        <w:tc>
          <w:tcPr/>
          <w:p>
            <w:pPr>
              <w:pStyle w:val="Compact"/>
            </w:pPr>
            <w:r>
              <w:t xml:space="preserve">Strong recommendation, can be skipped with a rationale</w:t>
            </w:r>
          </w:p>
        </w:tc>
        <w:tc>
          <w:tcPr/>
          <w:p>
            <w:pPr>
              <w:pStyle w:val="Compact"/>
            </w:pPr>
            <w:r>
              <w:t xml:space="preserve">“Keys should be stored in a hardware secure element (recommended).”</w:t>
            </w:r>
          </w:p>
        </w:tc>
        <w:tc>
          <w:tcPr/>
          <w:p>
            <w:pPr>
              <w:pStyle w:val="Compact"/>
            </w:pPr>
            <w:r>
              <w:t xml:space="preserve">If not met, a written rationale for</w:t>
            </w:r>
            <w:r>
              <w:t xml:space="preserve"> </w:t>
            </w:r>
            <w:r>
              <w:rPr>
                <w:b/>
                <w:bCs/>
              </w:rPr>
              <w:t xml:space="preserve">why</w:t>
            </w:r>
            <w:r>
              <w:t xml:space="preserve"> </w:t>
            </w:r>
            <w:r>
              <w:t xml:space="preserve">it wasn’t is required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may (MAY)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“The application may offer an additional PIN lock.”</w:t>
            </w:r>
          </w:p>
        </w:tc>
        <w:tc>
          <w:tcPr/>
          <w:p>
            <w:pPr>
              <w:pStyle w:val="Compact"/>
            </w:pPr>
            <w:r>
              <w:t xml:space="preserve">Not a finding even if not met</w:t>
            </w:r>
          </w:p>
        </w:tc>
      </w:tr>
    </w:tbl>
    <w:p>
      <w:pPr>
        <w:pStyle w:val="BodyText"/>
      </w:pPr>
      <w:r>
        <w:t xml:space="preserve">The concrete consequence of confusing these three words: if you write a SHOULD requirement as if it were MUST and</w:t>
      </w:r>
      <w:r>
        <w:t xml:space="preserve"> </w:t>
      </w:r>
      <w:r>
        <w:t xml:space="preserve">fail to meet it, you unnecessarily put yourself in a</w:t>
      </w:r>
      <w:r>
        <w:t xml:space="preserve"> </w:t>
      </w:r>
      <w:r>
        <w:t xml:space="preserve">“not met / residual risk”</w:t>
      </w:r>
      <w:r>
        <w:t xml:space="preserve"> </w:t>
      </w:r>
      <w:r>
        <w:t xml:space="preserve">situation when a rationale would</w:t>
      </w:r>
      <w:r>
        <w:t xml:space="preserve"> </w:t>
      </w:r>
      <w:r>
        <w:t xml:space="preserve">have sufficed. The reverse also happens: if you soften a MUST into a SHOULD and don’t meet it, the evaluator</w:t>
      </w:r>
      <w:r>
        <w:t xml:space="preserve"> </w:t>
      </w:r>
      <w:r>
        <w:t xml:space="preserve">treats it as a serious gap.</w:t>
      </w:r>
    </w:p>
    <w:bookmarkEnd w:id="51"/>
    <w:bookmarkStart w:id="52" w:name="X6ac5efe8320179d430cfd100c1858d050386339"/>
    <w:p>
      <w:pPr>
        <w:pStyle w:val="Heading3"/>
      </w:pPr>
      <w:r>
        <w:t xml:space="preserve">Third example: improving a process requirement</w:t>
      </w:r>
    </w:p>
    <w:p>
      <w:pPr>
        <w:pStyle w:val="FirstParagraph"/>
      </w:pPr>
      <w:r>
        <w:t xml:space="preserve">Alongside functional requirements, process requirements demand the same discipline. The bad version:</w:t>
      </w:r>
    </w:p>
    <w:p>
      <w:pPr>
        <w:pStyle w:val="BlockText"/>
      </w:pPr>
      <w:r>
        <w:t xml:space="preserve">“Code review must be performed.”</w:t>
      </w:r>
    </w:p>
    <w:p>
      <w:pPr>
        <w:pStyle w:val="Compact"/>
        <w:numPr>
          <w:ilvl w:val="0"/>
          <w:numId w:val="1019"/>
        </w:numPr>
      </w:pPr>
      <w:r>
        <w:t xml:space="preserve">Which change? (Every change, or only big ones?)</w:t>
      </w:r>
    </w:p>
    <w:p>
      <w:pPr>
        <w:pStyle w:val="Compact"/>
        <w:numPr>
          <w:ilvl w:val="0"/>
          <w:numId w:val="1019"/>
        </w:numPr>
      </w:pPr>
      <w:r>
        <w:t xml:space="preserve">Who reviews it? (Does the author themselves count?)</w:t>
      </w:r>
    </w:p>
    <w:p>
      <w:pPr>
        <w:pStyle w:val="Compact"/>
        <w:numPr>
          <w:ilvl w:val="0"/>
          <w:numId w:val="1019"/>
        </w:numPr>
      </w:pPr>
      <w:r>
        <w:t xml:space="preserve">When? (Before merging, or after?)</w:t>
      </w:r>
    </w:p>
    <w:p>
      <w:pPr>
        <w:pStyle w:val="FirstParagraph"/>
      </w:pPr>
      <w:r>
        <w:t xml:space="preserve">The good version:</w:t>
      </w:r>
      <w:r>
        <w:t xml:space="preserve"> </w:t>
      </w:r>
      <w:r>
        <w:t xml:space="preserve">“Every change must be reviewed by at least one person other than the developer who wrote it,</w:t>
      </w:r>
      <w:r>
        <w:t xml:space="preserve"> </w:t>
      </w:r>
      <w:r>
        <w:t xml:space="preserve">before being merged into the main branch (main/master), and the review approval must be recorded in the version</w:t>
      </w:r>
      <w:r>
        <w:t xml:space="preserve"> </w:t>
      </w:r>
      <w:r>
        <w:t xml:space="preserve">control system.”</w:t>
      </w:r>
      <w:r>
        <w:t xml:space="preserve"> </w:t>
      </w:r>
      <w:r>
        <w:t xml:space="preserve">This sentence is now verifiable: you check the version control history to see whether every pull</w:t>
      </w:r>
      <w:r>
        <w:t xml:space="preserve"> </w:t>
      </w:r>
      <w:r>
        <w:t xml:space="preserve">request has at least one approval record — it can even be audited automatically.</w:t>
      </w:r>
    </w:p>
    <w:bookmarkEnd w:id="52"/>
    <w:bookmarkStart w:id="53" w:name="X081491507a1db6251df566c425cd39c71b3fd55"/>
    <w:p>
      <w:pPr>
        <w:pStyle w:val="Heading3"/>
      </w:pPr>
      <w:r>
        <w:t xml:space="preserve">Writing a requirement isn’t enough: the next question is</w:t>
      </w:r>
      <w:r>
        <w:t xml:space="preserve"> </w:t>
      </w:r>
      <w:r>
        <w:t xml:space="preserve">“how do I verify it?”</w:t>
      </w:r>
    </w:p>
    <w:p>
      <w:pPr>
        <w:pStyle w:val="FirstParagraph"/>
      </w:pPr>
      <w:r>
        <w:t xml:space="preserve">In this section we learned to write a requirement</w:t>
      </w:r>
      <w:r>
        <w:t xml:space="preserve"> </w:t>
      </w:r>
      <w:r>
        <w:rPr>
          <w:b/>
          <w:bCs/>
        </w:rPr>
        <w:t xml:space="preserve">well</w:t>
      </w:r>
      <w:r>
        <w:t xml:space="preserve">; but even a well-written requirement proves nothing on</w:t>
      </w:r>
      <w:r>
        <w:t xml:space="preserve"> </w:t>
      </w:r>
      <w:r>
        <w:t xml:space="preserve">its own. The next question is always:</w:t>
      </w:r>
      <w:r>
        <w:t xml:space="preserve"> </w:t>
      </w:r>
      <w:r>
        <w:t xml:space="preserve">“By what concrete step do I show that this requirement has been met?”</w:t>
      </w:r>
      <w:r>
        <w:t xml:space="preserve"> </w:t>
      </w:r>
      <w:r>
        <w:t xml:space="preserve">This</w:t>
      </w:r>
      <w:r>
        <w:t xml:space="preserve"> </w:t>
      </w:r>
      <w:r>
        <w:t xml:space="preserve">question takes us to the traceability chain in Section 2.</w:t>
      </w:r>
    </w:p>
    <w:p>
      <w:r>
        <w:pict>
          <v:rect style="width:0;height:1.5pt" o:hralign="center" o:hrstd="t" o:hr="t"/>
        </w:pict>
      </w:r>
    </w:p>
    <w:bookmarkEnd w:id="53"/>
    <w:bookmarkEnd w:id="54"/>
    <w:bookmarkStart w:id="65" w:name="Xd995e2c85ce3c80fdca3684dc364528ed9ccdcd"/>
    <w:p>
      <w:pPr>
        <w:pStyle w:val="Heading2"/>
      </w:pPr>
      <w:r>
        <w:t xml:space="preserve">2. From requirement to evidence: traceability</w:t>
      </w:r>
    </w:p>
    <w:p>
      <w:pPr>
        <w:pStyle w:val="FirstParagraph"/>
      </w:pPr>
      <w:r>
        <w:t xml:space="preserve">A requirement is only considered met</w:t>
      </w:r>
      <w:r>
        <w:t xml:space="preserve"> </w:t>
      </w:r>
      <w:r>
        <w:rPr>
          <w:b/>
          <w:bCs/>
        </w:rPr>
        <w:t xml:space="preserve">together with its evidence</w:t>
      </w:r>
      <w:r>
        <w:t xml:space="preserve">. In certification, the following chain is</w:t>
      </w:r>
      <w:r>
        <w:t xml:space="preserve"> </w:t>
      </w:r>
      <w:r>
        <w:t xml:space="preserve">built for every requirement:</w:t>
      </w:r>
    </w:p>
    <w:p>
      <w:pPr>
        <w:pStyle w:val="BodyText"/>
      </w:pPr>
      <w:r>
        <w:drawing>
          <wp:inline>
            <wp:extent cx="5759999" cy="2377094"/>
            <wp:effectExtent b="0" l="0" r="0" t="0"/>
            <wp:docPr descr="The traceability chain from requirement to evidence" title="" id="56" name="Picture"/>
            <a:graphic>
              <a:graphicData uri="http://schemas.openxmlformats.org/drawingml/2006/picture">
                <pic:pic>
                  <pic:nvPicPr>
                    <pic:cNvPr descr="h13-01-izlenebilirlik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377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tabular form of this chain is called the</w:t>
      </w:r>
      <w:r>
        <w:t xml:space="preserve"> </w:t>
      </w:r>
      <w:r>
        <w:rPr>
          <w:b/>
          <w:bCs/>
        </w:rPr>
        <w:t xml:space="preserve">compliance matrix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Requirement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Control (guide section)</w:t>
            </w:r>
          </w:p>
        </w:tc>
        <w:tc>
          <w:tcPr/>
          <w:p>
            <w:pPr>
              <w:pStyle w:val="Compact"/>
            </w:pPr>
            <w:r>
              <w:t xml:space="preserve">Verification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CEN429-DR-01</w:t>
            </w:r>
          </w:p>
        </w:tc>
        <w:tc>
          <w:tcPr/>
          <w:p>
            <w:pPr>
              <w:pStyle w:val="Compact"/>
            </w:pPr>
            <w:r>
              <w:t xml:space="preserve">Sensitive data at rest must be encrypted with AEAD</w:t>
            </w:r>
          </w:p>
        </w:tc>
        <w:tc>
          <w:tcPr/>
          <w:p>
            <w:pPr>
              <w:pStyle w:val="Compact"/>
            </w:pPr>
            <w:r>
              <w:t xml:space="preserve">Met</w:t>
            </w:r>
          </w:p>
        </w:tc>
        <w:tc>
          <w:tcPr/>
          <w:p>
            <w:pPr>
              <w:pStyle w:val="Compact"/>
            </w:pPr>
            <w:r>
              <w:t xml:space="preserve">S7.2</w:t>
            </w:r>
            <w:r>
              <w:t xml:space="preserve"> </w:t>
            </w:r>
            <w:r>
              <w:t xml:space="preserve">“Vault file encryption”</w:t>
            </w:r>
          </w:p>
        </w:tc>
        <w:tc>
          <w:tcPr/>
          <w:p>
            <w:pPr>
              <w:pStyle w:val="Compact"/>
            </w:pPr>
            <w:r>
              <w:t xml:space="preserve">Unit test: decryption is rejected when a single byte is changed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test_butunluk.c</w:t>
            </w:r>
            <w:r>
              <w:t xml:space="preserve"> </w:t>
            </w:r>
            <w:r>
              <w:t xml:space="preserve">output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CEN429-AP-03</w:t>
            </w:r>
          </w:p>
        </w:tc>
        <w:tc>
          <w:tcPr/>
          <w:p>
            <w:pPr>
              <w:pStyle w:val="Compact"/>
            </w:pPr>
            <w:r>
              <w:t xml:space="preserve">The release build must not contain debug logging</w:t>
            </w:r>
          </w:p>
        </w:tc>
        <w:tc>
          <w:tcPr/>
          <w:p>
            <w:pPr>
              <w:pStyle w:val="Compact"/>
            </w:pPr>
            <w:r>
              <w:t xml:space="preserve">Met</w:t>
            </w:r>
          </w:p>
        </w:tc>
        <w:tc>
          <w:tcPr/>
          <w:p>
            <w:pPr>
              <w:pStyle w:val="Compact"/>
            </w:pPr>
            <w:r>
              <w:t xml:space="preserve">S12.1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strings</w:t>
            </w:r>
            <w:r>
              <w:t xml:space="preserve"> </w:t>
            </w:r>
            <w:r>
              <w:t xml:space="preserve">scan</w:t>
            </w:r>
          </w:p>
        </w:tc>
        <w:tc>
          <w:tcPr/>
          <w:p>
            <w:pPr>
              <w:pStyle w:val="Compact"/>
            </w:pPr>
            <w:r>
              <w:t xml:space="preserve">Scan output, CI record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CEN429-AP-07</w:t>
            </w:r>
          </w:p>
        </w:tc>
        <w:tc>
          <w:tcPr/>
          <w:p>
            <w:pPr>
              <w:pStyle w:val="Compact"/>
            </w:pPr>
            <w:r>
              <w:t xml:space="preserve">The application must be installed and updated securely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Deferred</w:t>
            </w:r>
          </w:p>
        </w:tc>
        <w:tc>
          <w:tcPr/>
          <w:p>
            <w:pPr>
              <w:pStyle w:val="Compact"/>
            </w:pPr>
            <w:r>
              <w:t xml:space="preserve">S14.2 (to the distribution platform)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Rationale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CEN429-DT-04</w:t>
            </w:r>
          </w:p>
        </w:tc>
        <w:tc>
          <w:tcPr/>
          <w:p>
            <w:pPr>
              <w:pStyle w:val="Compact"/>
            </w:pPr>
            <w:r>
              <w:t xml:space="preserve">The server certificate must be pinned</w:t>
            </w:r>
          </w:p>
        </w:tc>
        <w:tc>
          <w:tcPr/>
          <w:p>
            <w:pPr>
              <w:pStyle w:val="Compact"/>
            </w:pPr>
            <w:r>
              <w:t xml:space="preserve">Not met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Residual risk: S16.4</w:t>
            </w:r>
          </w:p>
        </w:tc>
      </w:tr>
    </w:tbl>
    <w:p>
      <w:pPr>
        <w:pStyle w:val="BodyText"/>
      </w:pPr>
      <w:r>
        <w:t xml:space="preserve">The matrix has two directions:</w:t>
      </w:r>
      <w:r>
        <w:t xml:space="preserve"> </w:t>
      </w:r>
      <w:r>
        <w:rPr>
          <w:b/>
          <w:bCs/>
        </w:rPr>
        <w:t xml:space="preserve">forward traceability</w:t>
      </w:r>
      <w:r>
        <w:t xml:space="preserve"> </w:t>
      </w:r>
      <w:r>
        <w:t xml:space="preserve">(does every requirement lead to a control and a test?)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backward traceability</w:t>
      </w:r>
      <w:r>
        <w:t xml:space="preserve"> </w:t>
      </w:r>
      <w:r>
        <w:t xml:space="preserve">(does every control rest on a requirement or a threat, or is it unnecessary?). The</w:t>
      </w:r>
      <w:r>
        <w:t xml:space="preserve"> </w:t>
      </w:r>
      <w:r>
        <w:t xml:space="preserve">evaluator reads the forward direction first: a row claimed to be met but with no evidence is the first finding.</w:t>
      </w:r>
    </w:p>
    <w:bookmarkStart w:id="58" w:name="X0c5db008040aba2e62269e58f2644cc545d718b"/>
    <w:p>
      <w:pPr>
        <w:pStyle w:val="Heading3"/>
      </w:pPr>
      <w:r>
        <w:t xml:space="preserve">Worked example: from an asset to evidence, end to end</w:t>
      </w:r>
    </w:p>
    <w:p>
      <w:pPr>
        <w:pStyle w:val="FirstParagraph"/>
      </w:pPr>
      <w:r>
        <w:t xml:space="preserve">Let’s fill in how the chain is built, from start to finish, through a single asset.</w:t>
      </w:r>
    </w:p>
    <w:p>
      <w:pPr>
        <w:pStyle w:val="BodyText"/>
      </w:pPr>
      <w:r>
        <w:rPr>
          <w:b/>
          <w:bCs/>
        </w:rPr>
        <w:t xml:space="preserve">1. Asset (from Week 1’s asset table).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Asset</w:t>
            </w:r>
          </w:p>
        </w:tc>
        <w:tc>
          <w:tcPr/>
          <w:p>
            <w:pPr>
              <w:pStyle w:val="Compact"/>
            </w:pPr>
            <w:r>
              <w:t xml:space="preserve">The user’s session 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Location</w:t>
            </w:r>
          </w:p>
        </w:tc>
        <w:tc>
          <w:tcPr/>
          <w:p>
            <w:pPr>
              <w:pStyle w:val="Compact"/>
            </w:pPr>
            <w:r>
              <w:t xml:space="preserve">Client memory; carried in the HTTP header on every request to the server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</w:t>
            </w:r>
            <w:r>
              <w:t xml:space="preserve"> </w:t>
            </w:r>
            <w:r>
              <w:t xml:space="preserve">(confidentiality) — if captured, the attacker acts as the 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Lifecycle</w:t>
            </w:r>
          </w:p>
        </w:tc>
        <w:tc>
          <w:tcPr/>
          <w:p>
            <w:pPr>
              <w:pStyle w:val="Compact"/>
            </w:pPr>
            <w:r>
              <w:t xml:space="preserve">Generated at login → used on every request → invalidated at logout or timeout</w:t>
            </w:r>
          </w:p>
        </w:tc>
      </w:tr>
    </w:tbl>
    <w:p>
      <w:pPr>
        <w:pStyle w:val="BodyText"/>
      </w:pPr>
      <w:r>
        <w:rPr>
          <w:b/>
          <w:bCs/>
        </w:rPr>
        <w:t xml:space="preserve">2. Threat (from Week 1’s threat model).</w:t>
      </w:r>
      <w:r>
        <w:t xml:space="preserve"> </w:t>
      </w:r>
      <w:r>
        <w:t xml:space="preserve">An attacker positioned on the network (e.g., on the same public</w:t>
      </w:r>
      <w:r>
        <w:t xml:space="preserve"> </w:t>
      </w:r>
      <w:r>
        <w:t xml:space="preserve">Wi-Fi) can listen on an unencrypted connection, capture the token, and use it in their own requests to act as the</w:t>
      </w:r>
      <w:r>
        <w:t xml:space="preserve"> </w:t>
      </w:r>
      <w:r>
        <w:t xml:space="preserve">user (STRIDE:</w:t>
      </w:r>
      <w:r>
        <w:t xml:space="preserve"> </w:t>
      </w:r>
      <w:r>
        <w:rPr>
          <w:b/>
          <w:bCs/>
        </w:rPr>
        <w:t xml:space="preserve">Spoofing</w:t>
      </w:r>
      <w:r>
        <w:t xml:space="preserve"> </w:t>
      </w:r>
      <w:r>
        <w:t xml:space="preserve">+</w:t>
      </w:r>
      <w:r>
        <w:t xml:space="preserve"> </w:t>
      </w:r>
      <w:r>
        <w:rPr>
          <w:b/>
          <w:bCs/>
        </w:rPr>
        <w:t xml:space="preserve">Information Disclosure</w:t>
      </w:r>
      <w:r>
        <w:t xml:space="preserve">, Week 1 terminology).</w:t>
      </w:r>
    </w:p>
    <w:p>
      <w:pPr>
        <w:pStyle w:val="BodyText"/>
      </w:pPr>
      <w:r>
        <w:rPr>
          <w:b/>
          <w:bCs/>
        </w:rPr>
        <w:t xml:space="preserve">3. Requirement (this week’s subject).</w:t>
      </w:r>
      <w:r>
        <w:t xml:space="preserve"> </w:t>
      </w:r>
      <w:r>
        <w:t xml:space="preserve">We write what the system must do against the threat; we briefly reapply</w:t>
      </w:r>
      <w:r>
        <w:t xml:space="preserve"> </w:t>
      </w:r>
      <w:r>
        <w:t xml:space="preserve">the six steps from Section 1: asset (session token) → threat (network eavesdropping) → goal (confidentiality +</w:t>
      </w:r>
      <w:r>
        <w:t xml:space="preserve"> </w:t>
      </w:r>
      <w:r>
        <w:t xml:space="preserve">identity) → tool class (encrypted channel + server authentication) → state (in transit) → obligation (MUST).</w:t>
      </w:r>
    </w:p>
    <w:p>
      <w:pPr>
        <w:pStyle w:val="BlockText"/>
      </w:pPr>
      <w:r>
        <w:rPr>
          <w:rStyle w:val="VerbatimChar"/>
        </w:rPr>
        <w:t xml:space="preserve">CEN429-DT-01</w:t>
      </w:r>
      <w:r>
        <w:t xml:space="preserve"> </w:t>
      </w:r>
      <w:r>
        <w:t xml:space="preserve">—</w:t>
      </w:r>
      <w:r>
        <w:t xml:space="preserve"> </w:t>
      </w:r>
      <w:r>
        <w:t xml:space="preserve">“The session token must be carried over a channel using TLS 1.2 or higher, with the server</w:t>
      </w:r>
      <w:r>
        <w:t xml:space="preserve"> </w:t>
      </w:r>
      <w:r>
        <w:t xml:space="preserve">certificate validated.”</w:t>
      </w:r>
    </w:p>
    <w:p>
      <w:pPr>
        <w:pStyle w:val="FirstParagraph"/>
      </w:pPr>
      <w:r>
        <w:rPr>
          <w:b/>
          <w:bCs/>
        </w:rPr>
        <w:t xml:space="preserve">4. Control (which section of the guide, what is done).</w:t>
      </w:r>
      <w:r>
        <w:t xml:space="preserve"> </w:t>
      </w:r>
      <w:r>
        <w:t xml:space="preserve">In the guide’s S10.3</w:t>
      </w:r>
      <w:r>
        <w:t xml:space="preserve"> </w:t>
      </w:r>
      <w:r>
        <w:t xml:space="preserve">“Transport security”</w:t>
      </w:r>
      <w:r>
        <w:t xml:space="preserve"> </w:t>
      </w:r>
      <w:r>
        <w:t xml:space="preserve">section:</w:t>
      </w:r>
      <w:r>
        <w:t xml:space="preserve"> </w:t>
      </w:r>
      <w:r>
        <w:t xml:space="preserve">“The client performs a TLS 1.2+ handshake on every connection to the server; the certificate chain and hostname</w:t>
      </w:r>
      <w:r>
        <w:t xml:space="preserve"> </w:t>
      </w:r>
      <w:r>
        <w:t xml:space="preserve">are validated (see Week 10). No request is sent before the channel is established.”</w:t>
      </w:r>
    </w:p>
    <w:p>
      <w:pPr>
        <w:pStyle w:val="BodyText"/>
      </w:pPr>
      <w:r>
        <w:rPr>
          <w:b/>
          <w:bCs/>
        </w:rPr>
        <w:t xml:space="preserve">5. Verification (how it was tested).</w:t>
      </w:r>
      <w:r>
        <w:t xml:space="preserve"> </w:t>
      </w:r>
      <w:r>
        <w:t xml:space="preserve">The security testing team tries to intercept the connection with a MITM</w:t>
      </w:r>
      <w:r>
        <w:t xml:space="preserve"> </w:t>
      </w:r>
      <w:r>
        <w:t xml:space="preserve">(man-in-the-middle) tool: it verifies that (a) presenting an invalid/self-signed certificate gets the connection</w:t>
      </w:r>
      <w:r>
        <w:t xml:space="preserve"> </w:t>
      </w:r>
      <w:r>
        <w:rPr>
          <w:b/>
          <w:bCs/>
        </w:rPr>
        <w:t xml:space="preserve">rejected</w:t>
      </w:r>
      <w:r>
        <w:t xml:space="preserve">, and (b) attempting a plaintext (non-TLS) connection gets</w:t>
      </w:r>
      <w:r>
        <w:t xml:space="preserve"> </w:t>
      </w:r>
      <w:r>
        <w:rPr>
          <w:b/>
          <w:bCs/>
        </w:rPr>
        <w:t xml:space="preserve">rejected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6. Evidence (where, produced by whom).</w:t>
      </w:r>
      <w:r>
        <w:t xml:space="preserve"> </w:t>
      </w:r>
      <w:r>
        <w:t xml:space="preserve">The test tool’s log output (</w:t>
      </w:r>
      <w:r>
        <w:rPr>
          <w:rStyle w:val="VerbatimChar"/>
        </w:rPr>
        <w:t xml:space="preserve">mitm_test_2026-11-03.log</w:t>
      </w:r>
      <w:r>
        <w:t xml:space="preserve">), the CI run</w:t>
      </w:r>
      <w:r>
        <w:t xml:space="preserve"> </w:t>
      </w:r>
      <w:r>
        <w:t xml:space="preserve">record (#617), and the TLS handshake packet capture taken during the connection (</w:t>
      </w:r>
      <w:r>
        <w:rPr>
          <w:rStyle w:val="VerbatimChar"/>
        </w:rPr>
        <w:t xml:space="preserve">handshake.pcapng</w:t>
      </w:r>
      <w:r>
        <w:t xml:space="preserve">) are stored in</w:t>
      </w:r>
      <w:r>
        <w:t xml:space="preserve"> </w:t>
      </w:r>
      <w:r>
        <w:t xml:space="preserve">the project repository’s</w:t>
      </w:r>
      <w:r>
        <w:t xml:space="preserve"> </w:t>
      </w:r>
      <w:r>
        <w:rPr>
          <w:rStyle w:val="VerbatimChar"/>
        </w:rPr>
        <w:t xml:space="preserve">evidence/week13/</w:t>
      </w:r>
      <w:r>
        <w:t xml:space="preserve"> </w:t>
      </w:r>
      <w:r>
        <w:t xml:space="preserve">folder, and are referenced by these file names in the compliance</w:t>
      </w:r>
      <w:r>
        <w:t xml:space="preserve"> </w:t>
      </w:r>
      <w:r>
        <w:t xml:space="preserve">matrix.</w:t>
      </w:r>
    </w:p>
    <w:p>
      <w:pPr>
        <w:pStyle w:val="BodyText"/>
      </w:pPr>
      <w:r>
        <w:t xml:space="preserve">Once these six steps are complete, the row in the compliance matrix fills in like this: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Requirement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Verification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CEN429-DT-01</w:t>
            </w:r>
          </w:p>
        </w:tc>
        <w:tc>
          <w:tcPr/>
          <w:p>
            <w:pPr>
              <w:pStyle w:val="Compact"/>
            </w:pPr>
            <w:r>
              <w:t xml:space="preserve">The session token must be carried over TLS 1.2+ with certificate validation</w:t>
            </w:r>
          </w:p>
        </w:tc>
        <w:tc>
          <w:tcPr/>
          <w:p>
            <w:pPr>
              <w:pStyle w:val="Compact"/>
            </w:pPr>
            <w:r>
              <w:t xml:space="preserve">Met</w:t>
            </w:r>
          </w:p>
        </w:tc>
        <w:tc>
          <w:tcPr/>
          <w:p>
            <w:pPr>
              <w:pStyle w:val="Compact"/>
            </w:pPr>
            <w:r>
              <w:t xml:space="preserve">S10.3</w:t>
            </w:r>
            <w:r>
              <w:t xml:space="preserve"> </w:t>
            </w:r>
            <w:r>
              <w:t xml:space="preserve">“Transport security”</w:t>
            </w:r>
          </w:p>
        </w:tc>
        <w:tc>
          <w:tcPr/>
          <w:p>
            <w:pPr>
              <w:pStyle w:val="Compact"/>
            </w:pPr>
            <w:r>
              <w:t xml:space="preserve">MITM test: an invalid certificate and a plaintext attempt are rejected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mitm_test_2026-11-03.log</w:t>
            </w:r>
            <w:r>
              <w:t xml:space="preserve">, CI #617,</w:t>
            </w:r>
            <w:r>
              <w:t xml:space="preserve"> </w:t>
            </w:r>
            <w:r>
              <w:rPr>
                <w:rStyle w:val="VerbatimChar"/>
              </w:rPr>
              <w:t xml:space="preserve">handshake.pcapng</w:t>
            </w:r>
          </w:p>
        </w:tc>
      </w:tr>
    </w:tbl>
    <w:p>
      <w:pPr>
        <w:pStyle w:val="BodyText"/>
      </w:pPr>
      <w:r>
        <w:t xml:space="preserve">What would happen if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of the chain’s six links were missing?</w:t>
      </w:r>
    </w:p>
    <w:p>
      <w:pPr>
        <w:pStyle w:val="Compact"/>
        <w:numPr>
          <w:ilvl w:val="0"/>
          <w:numId w:val="1020"/>
        </w:numPr>
      </w:pPr>
      <w:r>
        <w:t xml:space="preserve">If the asset were undefined → the requirement would have no answer to</w:t>
      </w:r>
      <w:r>
        <w:t xml:space="preserve"> </w:t>
      </w:r>
      <w:r>
        <w:t xml:space="preserve">“which data.”</w:t>
      </w:r>
    </w:p>
    <w:p>
      <w:pPr>
        <w:pStyle w:val="Compact"/>
        <w:numPr>
          <w:ilvl w:val="0"/>
          <w:numId w:val="1020"/>
        </w:numPr>
      </w:pPr>
      <w:r>
        <w:t xml:space="preserve">If it weren’t linked to a threat → the requirement would look arbitrary; there’d be no answer to</w:t>
      </w:r>
      <w:r>
        <w:t xml:space="preserve"> </w:t>
      </w:r>
      <w:r>
        <w:t xml:space="preserve">“why does this</w:t>
      </w:r>
      <w:r>
        <w:t xml:space="preserve"> </w:t>
      </w:r>
      <w:r>
        <w:t xml:space="preserve">requirement exist?”</w:t>
      </w:r>
    </w:p>
    <w:p>
      <w:pPr>
        <w:pStyle w:val="Compact"/>
        <w:numPr>
          <w:ilvl w:val="0"/>
          <w:numId w:val="1020"/>
        </w:numPr>
      </w:pPr>
      <w:r>
        <w:t xml:space="preserve">If no control were written → the</w:t>
      </w:r>
      <w:r>
        <w:t xml:space="preserve"> </w:t>
      </w:r>
      <w:r>
        <w:t xml:space="preserve">“met”</w:t>
      </w:r>
      <w:r>
        <w:t xml:space="preserve"> </w:t>
      </w:r>
      <w:r>
        <w:t xml:space="preserve">claim would be unsupported.</w:t>
      </w:r>
    </w:p>
    <w:p>
      <w:pPr>
        <w:pStyle w:val="Compact"/>
        <w:numPr>
          <w:ilvl w:val="0"/>
          <w:numId w:val="1020"/>
        </w:numPr>
      </w:pPr>
      <w:r>
        <w:t xml:space="preserve">If no verification were defined → there would be no answer to</w:t>
      </w:r>
      <w:r>
        <w:t xml:space="preserve"> </w:t>
      </w:r>
      <w:r>
        <w:t xml:space="preserve">“how was it tested?”</w:t>
      </w:r>
    </w:p>
    <w:p>
      <w:pPr>
        <w:pStyle w:val="Compact"/>
        <w:numPr>
          <w:ilvl w:val="0"/>
          <w:numId w:val="1020"/>
        </w:numPr>
      </w:pPr>
      <w:r>
        <w:t xml:space="preserve">If there were no evidence → the row would be the evaluator’s first finding (see the rule below).</w:t>
      </w:r>
    </w:p>
    <w:bookmarkEnd w:id="58"/>
    <w:bookmarkStart w:id="59" w:name="X83e081560f373cb046aafc42eaf60090ccf743f"/>
    <w:p>
      <w:pPr>
        <w:pStyle w:val="Heading3"/>
      </w:pPr>
      <w:r>
        <w:t xml:space="preserve">Backward traceability: finding a superfluous control</w:t>
      </w:r>
    </w:p>
    <w:p>
      <w:pPr>
        <w:pStyle w:val="FirstParagraph"/>
      </w:pPr>
      <w:r>
        <w:t xml:space="preserve">We saw forward traceability above.</w:t>
      </w:r>
      <w:r>
        <w:t xml:space="preserve"> </w:t>
      </w:r>
      <w:r>
        <w:rPr>
          <w:b/>
          <w:bCs/>
        </w:rPr>
        <w:t xml:space="preserve">Backward traceability</w:t>
      </w:r>
      <w:r>
        <w:t xml:space="preserve"> </w:t>
      </w:r>
      <w:r>
        <w:t xml:space="preserve">asks the opposite: does every control written in</w:t>
      </w:r>
      <w:r>
        <w:t xml:space="preserve"> </w:t>
      </w:r>
      <w:r>
        <w:t xml:space="preserve">the guide rest on a requirement? Say the guide has this sentence:</w:t>
      </w:r>
      <w:r>
        <w:t xml:space="preserve"> </w:t>
      </w:r>
      <w:r>
        <w:t xml:space="preserve">“The application applies a random delay at</w:t>
      </w:r>
      <w:r>
        <w:t xml:space="preserve"> </w:t>
      </w:r>
      <w:r>
        <w:t xml:space="preserve">startup.”</w:t>
      </w:r>
      <w:r>
        <w:t xml:space="preserve"> </w:t>
      </w:r>
      <w:r>
        <w:t xml:space="preserve">Which requirement does this control link to? If the team cannot show that it rests on</w:t>
      </w:r>
      <w:r>
        <w:t xml:space="preserve"> </w:t>
      </w:r>
      <w:r>
        <w:rPr>
          <w:rStyle w:val="VerbatimChar"/>
        </w:rPr>
        <w:t xml:space="preserve">CEN429-AP-05</w:t>
      </w:r>
      <w:r>
        <w:t xml:space="preserve"> </w:t>
      </w:r>
      <w:r>
        <w:t xml:space="preserve">(</w:t>
      </w:r>
      <w:r>
        <w:t xml:space="preserve">“a defined response must be given when a debugger or hook is detected”</w:t>
      </w:r>
      <w:r>
        <w:t xml:space="preserve">), then either (a) the threat model is</w:t>
      </w:r>
      <w:r>
        <w:t xml:space="preserve"> </w:t>
      </w:r>
      <w:r>
        <w:t xml:space="preserve">missing a threat (why was the delay needed, which attack does it slow down?), or (b) the control is</w:t>
      </w:r>
      <w:r>
        <w:t xml:space="preserve"> </w:t>
      </w:r>
      <w:r>
        <w:rPr>
          <w:b/>
          <w:bCs/>
        </w:rPr>
        <w:t xml:space="preserve">unnecessary</w:t>
      </w:r>
      <w:r>
        <w:t xml:space="preserve"> </w:t>
      </w:r>
      <w:r>
        <w:t xml:space="preserve">and should be removed from the guide. Backward traceability is the way to clean out</w:t>
      </w:r>
      <w:r>
        <w:t xml:space="preserve"> </w:t>
      </w:r>
      <w:r>
        <w:t xml:space="preserve">“seemed like</w:t>
      </w:r>
      <w:r>
        <w:t xml:space="preserve"> </w:t>
      </w:r>
      <w:r>
        <w:t xml:space="preserve">a good idea”</w:t>
      </w:r>
      <w:r>
        <w:t xml:space="preserve"> </w:t>
      </w:r>
      <w:r>
        <w:t xml:space="preserve">controls that pad the guide but meet nothing; every page is a page the evaluator must read, and an</w:t>
      </w:r>
      <w:r>
        <w:t xml:space="preserve"> </w:t>
      </w:r>
      <w:r>
        <w:t xml:space="preserve">unnecessary control lengthens the evaluation time.</w:t>
      </w:r>
    </w:p>
    <w:p>
      <w:pPr>
        <w:pStyle w:val="BlockText"/>
      </w:pPr>
      <w:r>
        <w:rPr>
          <w:b/>
          <w:bCs/>
        </w:rPr>
        <w:t xml:space="preserve">Common mistake: skipping the chain’s last link (evidence)</w:t>
      </w:r>
    </w:p>
    <w:p>
      <w:pPr>
        <w:pStyle w:val="BlockText"/>
      </w:pPr>
      <w:r>
        <w:t xml:space="preserve">Teams often write the requirement, the control, and the verification method nicely, but leave the evidence</w:t>
      </w:r>
      <w:r>
        <w:t xml:space="preserve"> </w:t>
      </w:r>
      <w:r>
        <w:t xml:space="preserve">column blank or wave it away with a generic phrase like</w:t>
      </w:r>
      <w:r>
        <w:t xml:space="preserve"> </w:t>
      </w:r>
      <w:r>
        <w:t xml:space="preserve">“tested.”</w:t>
      </w:r>
      <w:r>
        <w:t xml:space="preserve"> </w:t>
      </w:r>
      <w:r>
        <w:t xml:space="preserve">“Tested”</w:t>
      </w:r>
      <w:r>
        <w:t xml:space="preserve"> </w:t>
      </w:r>
      <w:r>
        <w:t xml:space="preserve">is not evidence to an evaluator;</w:t>
      </w:r>
      <w:r>
        <w:t xml:space="preserve"> </w:t>
      </w:r>
      <w:r>
        <w:t xml:space="preserve">you need to answer</w:t>
      </w:r>
      <w:r>
        <w:t xml:space="preserve"> </w:t>
      </w:r>
      <w:r>
        <w:rPr>
          <w:b/>
          <w:bCs/>
        </w:rPr>
        <w:t xml:space="preserve">which</w:t>
      </w:r>
      <w:r>
        <w:t xml:space="preserve"> </w:t>
      </w:r>
      <w:r>
        <w:t xml:space="preserve">test,</w:t>
      </w:r>
      <w:r>
        <w:t xml:space="preserve"> </w:t>
      </w:r>
      <w:r>
        <w:rPr>
          <w:b/>
          <w:bCs/>
        </w:rPr>
        <w:t xml:space="preserve">when</w:t>
      </w:r>
      <w:r>
        <w:t xml:space="preserve">, and</w:t>
      </w:r>
      <w:r>
        <w:t xml:space="preserve"> </w:t>
      </w:r>
      <w:r>
        <w:rPr>
          <w:b/>
          <w:bCs/>
        </w:rPr>
        <w:t xml:space="preserve">with what result</w:t>
      </w:r>
      <w:r>
        <w:t xml:space="preserve">, with a concrete file/record/screenshot.</w:t>
      </w:r>
      <w:r>
        <w:t xml:space="preserve"> </w:t>
      </w:r>
      <w:r>
        <w:t xml:space="preserve">A</w:t>
      </w:r>
      <w:r>
        <w:t xml:space="preserve"> </w:t>
      </w:r>
      <w:r>
        <w:t xml:space="preserve">“met”</w:t>
      </w:r>
      <w:r>
        <w:t xml:space="preserve"> </w:t>
      </w:r>
      <w:r>
        <w:t xml:space="preserve">row with no evidence is, as noted in the class-schedule box too, the first kind of finding the demo</w:t>
      </w:r>
      <w:r>
        <w:t xml:space="preserve"> </w:t>
      </w:r>
      <w:r>
        <w:t xml:space="preserve">tool (</w:t>
      </w:r>
      <w:r>
        <w:rPr>
          <w:rStyle w:val="VerbatimChar"/>
        </w:rPr>
        <w:t xml:space="preserve">01-uyum-matrisi</w:t>
      </w:r>
      <w:r>
        <w:t xml:space="preserve">) flags.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Every</w:t>
      </w:r>
      <w:r>
        <w:t xml:space="preserve"> </w:t>
      </w:r>
      <w:r>
        <w:t xml:space="preserve">“met”</w:t>
      </w:r>
      <w:r>
        <w:t xml:space="preserve"> </w:t>
      </w:r>
      <w:r>
        <w:t xml:space="preserve">row must have a</w:t>
      </w:r>
      <w:r>
        <w:t xml:space="preserve"> </w:t>
      </w:r>
      <w:r>
        <w:rPr>
          <w:b/>
          <w:bCs/>
        </w:rPr>
        <w:t xml:space="preserve">findable, named</w:t>
      </w:r>
      <w:r>
        <w:t xml:space="preserve"> </w:t>
      </w:r>
      <w:r>
        <w:t xml:space="preserve">reference in the evidence column: a file name, a CI run</w:t>
      </w:r>
      <w:r>
        <w:t xml:space="preserve"> </w:t>
      </w:r>
      <w:r>
        <w:t xml:space="preserve">number, a test report section. Phrases like</w:t>
      </w:r>
      <w:r>
        <w:t xml:space="preserve"> </w:t>
      </w:r>
      <w:r>
        <w:t xml:space="preserve">“exists,”</w:t>
      </w:r>
      <w:r>
        <w:t xml:space="preserve"> </w:t>
      </w:r>
      <w:r>
        <w:t xml:space="preserve">“tested,”</w:t>
      </w:r>
      <w:r>
        <w:t xml:space="preserve"> </w:t>
      </w:r>
      <w:r>
        <w:t xml:space="preserve">“checked”</w:t>
      </w:r>
      <w:r>
        <w:t xml:space="preserve"> </w:t>
      </w:r>
      <w:r>
        <w:t xml:space="preserve">are not evidence, they are a</w:t>
      </w:r>
      <w:r>
        <w:t xml:space="preserve"> </w:t>
      </w:r>
      <w:r>
        <w:rPr>
          <w:b/>
          <w:bCs/>
        </w:rPr>
        <w:t xml:space="preserve">promise</w:t>
      </w:r>
      <w:r>
        <w:t xml:space="preserve"> </w:t>
      </w:r>
      <w:r>
        <w:t xml:space="preserve">of evidence; a compliance matrix demands evidence, not a promise.</w:t>
      </w:r>
    </w:p>
    <w:bookmarkEnd w:id="59"/>
    <w:bookmarkStart w:id="60" w:name="Xc5d78e76e1b2b7f9c331343c05e2526e35179da"/>
    <w:p>
      <w:pPr>
        <w:pStyle w:val="Heading3"/>
      </w:pPr>
      <w:r>
        <w:t xml:space="preserve">The link between traceability and Week 12’s assessment</w:t>
      </w:r>
    </w:p>
    <w:p>
      <w:pPr>
        <w:pStyle w:val="FirstParagraph"/>
      </w:pPr>
      <w:r>
        <w:t xml:space="preserve">The assessment process you saw last week (Week 12) is, in fact, the way this matrix is</w:t>
      </w:r>
      <w:r>
        <w:t xml:space="preserve"> </w:t>
      </w:r>
      <w:r>
        <w:rPr>
          <w:b/>
          <w:bCs/>
        </w:rPr>
        <w:t xml:space="preserve">read</w:t>
      </w:r>
      <w:r>
        <w:t xml:space="preserve">: when an</w:t>
      </w:r>
      <w:r>
        <w:t xml:space="preserve"> </w:t>
      </w:r>
      <w:r>
        <w:t xml:space="preserve">evaluator examines your project, they don’t read random lines of code; they open the compliance matrix first,</w:t>
      </w:r>
      <w:r>
        <w:t xml:space="preserve"> </w:t>
      </w:r>
      <w:r>
        <w:t xml:space="preserve">select the</w:t>
      </w:r>
      <w:r>
        <w:t xml:space="preserve"> </w:t>
      </w:r>
      <w:r>
        <w:t xml:space="preserve">“met”</w:t>
      </w:r>
      <w:r>
        <w:t xml:space="preserve"> </w:t>
      </w:r>
      <w:r>
        <w:t xml:space="preserve">rows, request evidence for each, and</w:t>
      </w:r>
      <w:r>
        <w:t xml:space="preserve"> </w:t>
      </w:r>
      <w:r>
        <w:rPr>
          <w:b/>
          <w:bCs/>
        </w:rPr>
        <w:t xml:space="preserve">independently verify</w:t>
      </w:r>
      <w:r>
        <w:t xml:space="preserve"> </w:t>
      </w:r>
      <w:r>
        <w:t xml:space="preserve">that evidence (Week 12’s</w:t>
      </w:r>
      <w:r>
        <w:t xml:space="preserve"> </w:t>
      </w:r>
      <w:r>
        <w:t xml:space="preserve">“independent verification”</w:t>
      </w:r>
      <w:r>
        <w:t xml:space="preserve"> </w:t>
      </w:r>
      <w:r>
        <w:t xml:space="preserve">principle). The better your matrix is built, the faster and with fewer question marks</w:t>
      </w:r>
      <w:r>
        <w:t xml:space="preserve"> </w:t>
      </w:r>
      <w:r>
        <w:t xml:space="preserve">the assessment proceeds; a poorly built matrix makes the evaluator stop at every row and ask</w:t>
      </w:r>
      <w:r>
        <w:t xml:space="preserve"> </w:t>
      </w:r>
      <w:r>
        <w:t xml:space="preserve">“how do we know</w:t>
      </w:r>
      <w:r>
        <w:t xml:space="preserve"> </w:t>
      </w:r>
      <w:r>
        <w:t xml:space="preserve">this?”</w:t>
      </w:r>
      <w:r>
        <w:t xml:space="preserve">, lengthening the process.</w:t>
      </w:r>
    </w:p>
    <w:bookmarkEnd w:id="60"/>
    <w:bookmarkStart w:id="61" w:name="Xe619e4341779bd0362e1676e4020c4c57e166ad"/>
    <w:p>
      <w:pPr>
        <w:pStyle w:val="Heading3"/>
      </w:pPr>
      <w:r>
        <w:t xml:space="preserve">Worked example: the full chain of the</w:t>
      </w:r>
      <w:r>
        <w:t xml:space="preserve"> </w:t>
      </w:r>
      <w:r>
        <w:t xml:space="preserve">‘not met’</w:t>
      </w:r>
      <w:r>
        <w:t xml:space="preserve"> </w:t>
      </w:r>
      <w:r>
        <w:t xml:space="preserve">status</w:t>
      </w:r>
    </w:p>
    <w:p>
      <w:pPr>
        <w:pStyle w:val="FirstParagraph"/>
      </w:pPr>
      <w:r>
        <w:t xml:space="preserve">The chain is built not only for</w:t>
      </w:r>
      <w:r>
        <w:t xml:space="preserve"> </w:t>
      </w:r>
      <w:r>
        <w:t xml:space="preserve">“met”</w:t>
      </w:r>
      <w:r>
        <w:t xml:space="preserve"> </w:t>
      </w:r>
      <w:r>
        <w:t xml:space="preserve">rows but for</w:t>
      </w:r>
      <w:r>
        <w:t xml:space="preserve"> </w:t>
      </w:r>
      <w:r>
        <w:t xml:space="preserve">“not met”</w:t>
      </w:r>
      <w:r>
        <w:t xml:space="preserve"> </w:t>
      </w:r>
      <w:r>
        <w:t xml:space="preserve">rows too — the difference is in the</w:t>
      </w:r>
      <w:r>
        <w:t xml:space="preserve"> </w:t>
      </w:r>
      <w:r>
        <w:rPr>
          <w:b/>
          <w:bCs/>
        </w:rPr>
        <w:t xml:space="preserve">last two</w:t>
      </w:r>
      <w:r>
        <w:rPr>
          <w:b/>
          <w:bCs/>
        </w:rPr>
        <w:t xml:space="preserve"> </w:t>
      </w:r>
      <w:r>
        <w:rPr>
          <w:b/>
          <w:bCs/>
        </w:rPr>
        <w:t xml:space="preserve">links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Link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t xml:space="preserve">“met”</w:t>
            </w:r>
            <w:r>
              <w:t xml:space="preserve"> </w:t>
            </w:r>
            <w:r>
              <w:t xml:space="preserve">example (above)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t xml:space="preserve">“not met”</w:t>
            </w:r>
            <w:r>
              <w:t xml:space="preserve"> </w:t>
            </w:r>
            <w:r>
              <w:t xml:space="preserve">example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Asset</w:t>
            </w:r>
          </w:p>
        </w:tc>
        <w:tc>
          <w:tcPr/>
          <w:p>
            <w:pPr>
              <w:pStyle w:val="Compact"/>
            </w:pPr>
            <w:r>
              <w:t xml:space="preserve">Session token</w:t>
            </w:r>
          </w:p>
        </w:tc>
        <w:tc>
          <w:tcPr/>
          <w:p>
            <w:pPr>
              <w:pStyle w:val="Compact"/>
            </w:pPr>
            <w:r>
              <w:t xml:space="preserve">Server certificate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Threat</w:t>
            </w:r>
          </w:p>
        </w:tc>
        <w:tc>
          <w:tcPr/>
          <w:p>
            <w:pPr>
              <w:pStyle w:val="Compact"/>
            </w:pPr>
            <w:r>
              <w:t xml:space="preserve">Network eavesdropping</w:t>
            </w:r>
          </w:p>
        </w:tc>
        <w:tc>
          <w:tcPr/>
          <w:p>
            <w:pPr>
              <w:pStyle w:val="Compact"/>
            </w:pPr>
            <w:r>
              <w:t xml:space="preserve">MITM with a forged server certificate (if there’s no certificate pinning)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Requirement</w:t>
            </w:r>
          </w:p>
        </w:tc>
        <w:tc>
          <w:tcPr/>
          <w:p>
            <w:pPr>
              <w:pStyle w:val="Compact"/>
            </w:pPr>
            <w:r>
              <w:t xml:space="preserve">CEN429-DT-01</w:t>
            </w:r>
          </w:p>
        </w:tc>
        <w:tc>
          <w:tcPr/>
          <w:p>
            <w:pPr>
              <w:pStyle w:val="Compact"/>
            </w:pPr>
            <w:r>
              <w:t xml:space="preserve">CEN429-DT-04</w:t>
            </w:r>
            <w:r>
              <w:t xml:space="preserve"> </w:t>
            </w:r>
            <w:r>
              <w:t xml:space="preserve">“The server certificate must be pinned”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Met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met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S10.3</w:t>
            </w:r>
          </w:p>
        </w:tc>
        <w:tc>
          <w:tcPr/>
          <w:p>
            <w:pPr>
              <w:pStyle w:val="Compact"/>
            </w:pPr>
            <w:r>
              <w:t xml:space="preserve">— (not yet)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Verification</w:t>
            </w:r>
          </w:p>
        </w:tc>
        <w:tc>
          <w:tcPr/>
          <w:p>
            <w:pPr>
              <w:pStyle w:val="Compact"/>
            </w:pPr>
            <w:r>
              <w:t xml:space="preserve">MITM test passed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</w:t>
            </w:r>
          </w:p>
        </w:tc>
        <w:tc>
          <w:tcPr/>
          <w:p>
            <w:pPr>
              <w:pStyle w:val="Compact"/>
            </w:pPr>
            <w:r>
              <w:t xml:space="preserve">Test log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Residual risk:</w:t>
            </w:r>
            <w:r>
              <w:t xml:space="preserve"> </w:t>
            </w:r>
            <w:r>
              <w:t xml:space="preserve">written into S16.4 as</w:t>
            </w:r>
            <w:r>
              <w:t xml:space="preserve"> </w:t>
            </w:r>
            <w:r>
              <w:t xml:space="preserve">“certificate pinning not yet implemented, MITM risk open; planned for v1.1”</w:t>
            </w:r>
          </w:p>
        </w:tc>
      </w:tr>
    </w:tbl>
    <w:p>
      <w:pPr>
        <w:pStyle w:val="BodyText"/>
      </w:pPr>
      <w:r>
        <w:t xml:space="preserve">This is the expanded version of the</w:t>
      </w:r>
      <w:r>
        <w:t xml:space="preserve"> </w:t>
      </w:r>
      <w:r>
        <w:rPr>
          <w:rStyle w:val="VerbatimChar"/>
        </w:rPr>
        <w:t xml:space="preserve">CEN429-DT-04</w:t>
      </w:r>
      <w:r>
        <w:t xml:space="preserve"> </w:t>
      </w:r>
      <w:r>
        <w:t xml:space="preserve">row we saw in the compliance-matrix table at the start of the</w:t>
      </w:r>
      <w:r>
        <w:t xml:space="preserve"> </w:t>
      </w:r>
      <w:r>
        <w:t xml:space="preserve">section. In the</w:t>
      </w:r>
      <w:r>
        <w:t xml:space="preserve"> </w:t>
      </w:r>
      <w:r>
        <w:t xml:space="preserve">“not met”</w:t>
      </w:r>
      <w:r>
        <w:t xml:space="preserve"> </w:t>
      </w:r>
      <w:r>
        <w:t xml:space="preserve">state, the control and verification columns can stay blank, but the</w:t>
      </w:r>
      <w:r>
        <w:t xml:space="preserve"> </w:t>
      </w:r>
      <w:r>
        <w:rPr>
          <w:b/>
          <w:bCs/>
        </w:rPr>
        <w:t xml:space="preserve">evidence</w:t>
      </w:r>
      <w:r>
        <w:t xml:space="preserve"> </w:t>
      </w:r>
      <w:r>
        <w:t xml:space="preserve">column</w:t>
      </w:r>
      <w:r>
        <w:t xml:space="preserve"> </w:t>
      </w:r>
      <w:r>
        <w:t xml:space="preserve">cannot — there, instead of real evidence, you write</w:t>
      </w:r>
      <w:r>
        <w:t xml:space="preserve"> </w:t>
      </w:r>
      <w:r>
        <w:rPr>
          <w:b/>
          <w:bCs/>
        </w:rPr>
        <w:t xml:space="preserve">where the residual risk is documented</w:t>
      </w:r>
      <w:r>
        <w:t xml:space="preserve">. Leaving it blank</w:t>
      </w:r>
      <w:r>
        <w:t xml:space="preserve"> </w:t>
      </w:r>
      <w:r>
        <w:t xml:space="preserve">gives the impression that the risk was forgotten.</w:t>
      </w:r>
    </w:p>
    <w:bookmarkEnd w:id="61"/>
    <w:bookmarkStart w:id="62" w:name="why-matrix-not-list"/>
    <w:p>
      <w:pPr>
        <w:pStyle w:val="Heading3"/>
      </w:pPr>
      <w:r>
        <w:t xml:space="preserve">Why</w:t>
      </w:r>
      <w:r>
        <w:t xml:space="preserve"> </w:t>
      </w:r>
      <w:r>
        <w:t xml:space="preserve">‘matrix,’</w:t>
      </w:r>
      <w:r>
        <w:t xml:space="preserve"> </w:t>
      </w:r>
      <w:r>
        <w:t xml:space="preserve">not</w:t>
      </w:r>
      <w:r>
        <w:t xml:space="preserve"> </w:t>
      </w:r>
      <w:r>
        <w:t xml:space="preserve">‘list’</w:t>
      </w:r>
      <w:r>
        <w:t xml:space="preserve">?</w:t>
      </w:r>
    </w:p>
    <w:p>
      <w:pPr>
        <w:pStyle w:val="FirstParagraph"/>
      </w:pPr>
      <w:r>
        <w:t xml:space="preserve">A checklist only says</w:t>
      </w:r>
      <w:r>
        <w:t xml:space="preserve"> </w:t>
      </w:r>
      <w:r>
        <w:t xml:space="preserve">“done/not done.”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compliance matrix</w:t>
      </w:r>
      <w:r>
        <w:t xml:space="preserve"> </w:t>
      </w:r>
      <w:r>
        <w:t xml:space="preserve">is called a</w:t>
      </w:r>
      <w:r>
        <w:t xml:space="preserve"> </w:t>
      </w:r>
      <w:r>
        <w:t xml:space="preserve">“matrix”</w:t>
      </w:r>
      <w:r>
        <w:t xml:space="preserve"> </w:t>
      </w:r>
      <w:r>
        <w:t xml:space="preserve">because it holds six</w:t>
      </w:r>
      <w:r>
        <w:t xml:space="preserve"> </w:t>
      </w:r>
      <w:r>
        <w:t xml:space="preserve">dimensions together (id, requirement, status, control, verification, evidence): every row is a requirement, every</w:t>
      </w:r>
      <w:r>
        <w:t xml:space="preserve"> </w:t>
      </w:r>
      <w:r>
        <w:t xml:space="preserve">column is a link in the traceability chain. If a cell is missing, it means that row is</w:t>
      </w:r>
      <w:r>
        <w:t xml:space="preserve"> </w:t>
      </w:r>
      <w:r>
        <w:rPr>
          <w:b/>
          <w:bCs/>
        </w:rPr>
        <w:t xml:space="preserve">unverifiable</w:t>
      </w:r>
      <w:r>
        <w:t xml:space="preserve"> </w:t>
      </w:r>
      <w:r>
        <w:t xml:space="preserve">in that</w:t>
      </w:r>
      <w:r>
        <w:t xml:space="preserve"> </w:t>
      </w:r>
      <w:r>
        <w:t xml:space="preserve">dimension — a list can’t show this, a matrix can.</w:t>
      </w:r>
    </w:p>
    <w:bookmarkEnd w:id="62"/>
    <w:bookmarkStart w:id="63" w:name="X5e13dff39b614e21d91bfae32112ae46359dd90"/>
    <w:p>
      <w:pPr>
        <w:pStyle w:val="Heading3"/>
      </w:pPr>
      <w:r>
        <w:t xml:space="preserve">The five finding types an evaluator writes most often</w:t>
      </w:r>
    </w:p>
    <w:p>
      <w:pPr>
        <w:pStyle w:val="FirstParagraph"/>
      </w:pPr>
      <w:r>
        <w:t xml:space="preserve">An evaluator reading a compliance matrix usually writes one of these five finding types; check these five before</w:t>
      </w:r>
      <w:r>
        <w:t xml:space="preserve"> </w:t>
      </w:r>
      <w:r>
        <w:t xml:space="preserve">submitting your own matrix: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</w:rPr>
        <w:t xml:space="preserve">“met”</w:t>
      </w:r>
      <w:r>
        <w:rPr>
          <w:b/>
          <w:bCs/>
        </w:rPr>
        <w:t xml:space="preserve"> </w:t>
      </w:r>
      <w:r>
        <w:rPr>
          <w:b/>
          <w:bCs/>
        </w:rPr>
        <w:t xml:space="preserve">with no evidence.</w:t>
      </w:r>
      <w:r>
        <w:t xml:space="preserve"> </w:t>
      </w:r>
      <w:r>
        <w:t xml:space="preserve">The most common finding; this section’s main rule.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Inconsistent ids.</w:t>
      </w:r>
      <w:r>
        <w:t xml:space="preserve"> </w:t>
      </w:r>
      <w:r>
        <w:t xml:space="preserve">The same requirement is given different ids in different places in the guide (e.g.,</w:t>
      </w:r>
      <w:r>
        <w:t xml:space="preserve"> </w:t>
      </w:r>
      <w:r>
        <w:rPr>
          <w:rStyle w:val="VerbatimChar"/>
        </w:rPr>
        <w:t xml:space="preserve">CEN429-DR-01</w:t>
      </w:r>
      <w:r>
        <w:t xml:space="preserve"> </w:t>
      </w:r>
      <w:r>
        <w:t xml:space="preserve">in one place,</w:t>
      </w:r>
      <w:r>
        <w:t xml:space="preserve"> </w:t>
      </w:r>
      <w:r>
        <w:rPr>
          <w:rStyle w:val="VerbatimChar"/>
        </w:rPr>
        <w:t xml:space="preserve">DR01</w:t>
      </w:r>
      <w:r>
        <w:t xml:space="preserve"> </w:t>
      </w:r>
      <w:r>
        <w:t xml:space="preserve">in another) — traceability can no longer be checked automatically with</w:t>
      </w:r>
      <w:r>
        <w:t xml:space="preserve"> </w:t>
      </w:r>
      <w:r>
        <w:t xml:space="preserve">software tools.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An unlinked control (backward traceability).</w:t>
      </w:r>
      <w:r>
        <w:t xml:space="preserve"> </w:t>
      </w:r>
      <w:r>
        <w:t xml:space="preserve">The guide has a control but doesn’t state which requirement</w:t>
      </w:r>
      <w:r>
        <w:t xml:space="preserve"> </w:t>
      </w:r>
      <w:r>
        <w:t xml:space="preserve">it meets.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</w:rPr>
        <w:t xml:space="preserve">“not applicable”</w:t>
      </w:r>
      <w:r>
        <w:rPr>
          <w:b/>
          <w:bCs/>
        </w:rPr>
        <w:t xml:space="preserve"> </w:t>
      </w:r>
      <w:r>
        <w:rPr>
          <w:b/>
          <w:bCs/>
        </w:rPr>
        <w:t xml:space="preserve">with no rationale.</w:t>
      </w:r>
      <w:r>
        <w:t xml:space="preserve"> </w:t>
      </w:r>
      <w:r>
        <w:t xml:space="preserve">The mistake covered in this week’s Sections 0 and 7.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Generic/copy-pasted evidence.</w:t>
      </w:r>
      <w:r>
        <w:t xml:space="preserve"> </w:t>
      </w:r>
      <w:r>
        <w:t xml:space="preserve">The mistake seen in the worked example in Section 8.</w:t>
      </w:r>
    </w:p>
    <w:p>
      <w:pPr>
        <w:pStyle w:val="FirstParagraph"/>
      </w:pPr>
      <w:r>
        <w:t xml:space="preserve">The demo tool</w:t>
      </w:r>
      <w:r>
        <w:t xml:space="preserve"> </w:t>
      </w:r>
      <w:r>
        <w:rPr>
          <w:rStyle w:val="VerbatimChar"/>
        </w:rPr>
        <w:t xml:space="preserve">01-uyum-matrisi</w:t>
      </w:r>
      <w:r>
        <w:t xml:space="preserve"> </w:t>
      </w:r>
      <w:r>
        <w:t xml:space="preserve">automatically scans only for the first type (a</w:t>
      </w:r>
      <w:r>
        <w:t xml:space="preserve"> </w:t>
      </w:r>
      <w:r>
        <w:t xml:space="preserve">“met”</w:t>
      </w:r>
      <w:r>
        <w:t xml:space="preserve"> </w:t>
      </w:r>
      <w:r>
        <w:t xml:space="preserve">with no evidence); the other</w:t>
      </w:r>
      <w:r>
        <w:t xml:space="preserve"> </w:t>
      </w:r>
      <w:r>
        <w:t xml:space="preserve">four are, for now, found manually, by reading like an evaluator.</w:t>
      </w:r>
    </w:p>
    <w:bookmarkEnd w:id="63"/>
    <w:bookmarkStart w:id="64" w:name="X565f19f2b7e0a47110e0cf5bc5b272dfccb1bc5"/>
    <w:p>
      <w:pPr>
        <w:pStyle w:val="Heading3"/>
      </w:pPr>
      <w:r>
        <w:t xml:space="preserve">Carrying traceability into the code level too</w:t>
      </w:r>
    </w:p>
    <w:p>
      <w:pPr>
        <w:pStyle w:val="FirstParagraph"/>
      </w:pPr>
      <w:r>
        <w:t xml:space="preserve">The compliance matrix is usually kept as a separate document (a table), but it is also possible — and common in</w:t>
      </w:r>
      <w:r>
        <w:t xml:space="preserve"> </w:t>
      </w:r>
      <w:r>
        <w:t xml:space="preserve">large projects — to carry traceability</w:t>
      </w:r>
      <w:r>
        <w:t xml:space="preserve"> </w:t>
      </w:r>
      <w:r>
        <w:rPr>
          <w:b/>
          <w:bCs/>
        </w:rPr>
        <w:t xml:space="preserve">into the source code itself</w:t>
      </w:r>
      <w:r>
        <w:t xml:space="preserve">: adding a comment line like</w:t>
      </w:r>
      <w:r>
        <w:t xml:space="preserve"> </w:t>
      </w:r>
      <w:r>
        <w:t xml:space="preserve">“this function</w:t>
      </w:r>
      <w:r>
        <w:t xml:space="preserve"> </w:t>
      </w:r>
      <w:r>
        <w:t xml:space="preserve">meets CEN429-DR-01”</w:t>
      </w:r>
      <w:r>
        <w:t xml:space="preserve"> </w:t>
      </w:r>
      <w:r>
        <w:t xml:space="preserve">above a critical function lets the next developer reading the code (or yourself, a year</w:t>
      </w:r>
      <w:r>
        <w:t xml:space="preserve"> </w:t>
      </w:r>
      <w:r>
        <w:t xml:space="preserve">later) instantly answer</w:t>
      </w:r>
      <w:r>
        <w:t xml:space="preserve"> </w:t>
      </w:r>
      <w:r>
        <w:t xml:space="preserve">“why is this line here?”</w:t>
      </w:r>
      <w:r>
        <w:t xml:space="preserve"> </w:t>
      </w:r>
      <w:r>
        <w:t xml:space="preserve">This is a small, code-side reflection of the requirement block</w:t>
      </w:r>
      <w:r>
        <w:t xml:space="preserve"> </w:t>
      </w:r>
      <w:r>
        <w:t xml:space="preserve">from Section 3:</w:t>
      </w:r>
    </w:p>
    <w:p>
      <w:pPr>
        <w:pStyle w:val="BodyText"/>
      </w:pPr>
      <w:r>
        <w:rPr>
          <w:b/>
          <w:bCs/>
        </w:rPr>
        <w:t xml:space="preserve">Traceability comment in code (example)</w:t>
      </w:r>
    </w:p>
    <w:p>
      <w:pPr>
        <w:pStyle w:val="SourceCode"/>
      </w:pPr>
      <w:r>
        <w:rPr>
          <w:rStyle w:val="CommentTok"/>
        </w:rPr>
        <w:t xml:space="preserve">/* CEN429-DR-01: the vault file at rest is encrypted with AEAD.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kasa_dosyasi_sifrele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anahtar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...)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...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A comment like this does not replace the evidence column (the evidence must still be a test/record); but it</w:t>
      </w:r>
      <w:r>
        <w:t xml:space="preserve"> </w:t>
      </w:r>
      <w:r>
        <w:t xml:space="preserve">visually links the requirement to the code. Someone doing a code review can scan for these comments when looking</w:t>
      </w:r>
      <w:r>
        <w:t xml:space="preserve"> </w:t>
      </w:r>
      <w:r>
        <w:t xml:space="preserve">for the code that meets a requirement.</w:t>
      </w:r>
    </w:p>
    <w:p>
      <w:r>
        <w:pict>
          <v:rect style="width:0;height:1.5pt" o:hralign="center" o:hrstd="t" o:hr="t"/>
        </w:pict>
      </w:r>
    </w:p>
    <w:bookmarkEnd w:id="64"/>
    <w:bookmarkEnd w:id="65"/>
    <w:bookmarkStart w:id="80" w:name="X0ef49181088ca1f14022b9ef617f1e5d11a429b"/>
    <w:p>
      <w:pPr>
        <w:pStyle w:val="Heading2"/>
      </w:pPr>
      <w:r>
        <w:t xml:space="preserve">3. The requirement-block pattern and deferred requirements</w:t>
      </w:r>
    </w:p>
    <w:bookmarkStart w:id="72" w:name="the-requirement-block-in-the-guide"/>
    <w:p>
      <w:pPr>
        <w:pStyle w:val="Heading3"/>
      </w:pPr>
      <w:r>
        <w:t xml:space="preserve">The requirement block in the guide</w:t>
      </w:r>
    </w:p>
    <w:p>
      <w:pPr>
        <w:pStyle w:val="FirstParagraph"/>
      </w:pPr>
      <w:r>
        <w:drawing>
          <wp:inline>
            <wp:extent cx="5759999" cy="2748610"/>
            <wp:effectExtent b="0" l="0" r="0" t="0"/>
            <wp:docPr descr="The three questions to answer when deferring" title="" id="67" name="Picture"/>
            <a:graphic>
              <a:graphicData uri="http://schemas.openxmlformats.org/drawingml/2006/picture">
                <pic:pic>
                  <pic:nvPicPr>
                    <pic:cNvPr descr="h13-06-devretme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48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759999" cy="2888214"/>
            <wp:effectExtent b="0" l="0" r="0" t="0"/>
            <wp:docPr descr="The fields of a requirement block" title="" id="70" name="Picture"/>
            <a:graphic>
              <a:graphicData uri="http://schemas.openxmlformats.org/drawingml/2006/picture">
                <pic:pic>
                  <pic:nvPicPr>
                    <pic:cNvPr descr="h13-05-gereksinim-blogu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888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security guides that pass certification, every section opens with the requirements that fall under it. Every</w:t>
      </w:r>
      <w:r>
        <w:t xml:space="preserve"> </w:t>
      </w:r>
      <w:r>
        <w:t xml:space="preserve">requirement is written in this pattern:</w:t>
      </w:r>
    </w:p>
    <w:p>
      <w:pPr>
        <w:pStyle w:val="SourceCode"/>
      </w:pPr>
      <w:r>
        <w:rPr>
          <w:rStyle w:val="VerbatimChar"/>
        </w:rPr>
        <w:t xml:space="preserve">[Standard/scheme] Requirement id — STATUS</w:t>
      </w:r>
      <w:r>
        <w:br/>
      </w:r>
      <w:r>
        <w:rPr>
          <w:rStyle w:val="VerbatimChar"/>
        </w:rPr>
        <w:t xml:space="preserve">The requirement's text (from the standard).</w:t>
      </w:r>
      <w:r>
        <w:br/>
      </w:r>
      <w:r>
        <w:rPr>
          <w:rStyle w:val="VerbatimChar"/>
        </w:rPr>
        <w:t xml:space="preserve">A description of how the product meets this requirement; reference to the relevant control cards and sections.</w:t>
      </w:r>
    </w:p>
    <w:p>
      <w:pPr>
        <w:pStyle w:val="FirstParagraph"/>
      </w:pPr>
      <w:r>
        <w:t xml:space="preserve">In the field, in a mobile payment library’s guide, every section —</w:t>
      </w:r>
      <w:r>
        <w:t xml:space="preserve"> </w:t>
      </w:r>
      <w:r>
        <w:t xml:space="preserve">“data at rest,”</w:t>
      </w:r>
      <w:r>
        <w:t xml:space="preserve"> </w:t>
      </w:r>
      <w:r>
        <w:t xml:space="preserve">“data in use,”</w:t>
      </w:r>
      <w:r>
        <w:t xml:space="preserve"> </w:t>
      </w:r>
      <w:r>
        <w:t xml:space="preserve">“data in</w:t>
      </w:r>
      <w:r>
        <w:t xml:space="preserve"> </w:t>
      </w:r>
      <w:r>
        <w:t xml:space="preserve">transit,”</w:t>
      </w:r>
      <w:r>
        <w:t xml:space="preserve"> </w:t>
      </w:r>
      <w:r>
        <w:t xml:space="preserve">“reporting,”</w:t>
      </w:r>
      <w:r>
        <w:t xml:space="preserve"> </w:t>
      </w:r>
      <w:r>
        <w:t xml:space="preserve">“crypto methods and keys”</w:t>
      </w:r>
      <w:r>
        <w:t xml:space="preserve"> </w:t>
      </w:r>
      <w:r>
        <w:t xml:space="preserve">— opens with the two card schemes’ requirements on that topic,</w:t>
      </w:r>
      <w:r>
        <w:t xml:space="preserve"> </w:t>
      </w:r>
      <w:r>
        <w:t xml:space="preserve">and each one is marked</w:t>
      </w:r>
      <w:r>
        <w:t xml:space="preserve"> </w:t>
      </w:r>
      <w:r>
        <w:rPr>
          <w:b/>
          <w:bCs/>
        </w:rPr>
        <w:t xml:space="preserve">met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deferred to the parent application</w:t>
      </w:r>
      <w:r>
        <w:t xml:space="preserve">. The strength of this pattern is that</w:t>
      </w:r>
      <w:r>
        <w:t xml:space="preserve"> </w:t>
      </w:r>
      <w:r>
        <w:t xml:space="preserve">the evaluator can go from requirement to evidence in a single glance.</w:t>
      </w:r>
    </w:p>
    <w:bookmarkEnd w:id="72"/>
    <w:bookmarkStart w:id="73" w:name="X1f1da99b95abb816d97f98f51a3de298a33d6b4"/>
    <w:p>
      <w:pPr>
        <w:pStyle w:val="Heading3"/>
      </w:pPr>
      <w:r>
        <w:t xml:space="preserve">Deferred requirements: the boundary of responsibility</w:t>
      </w:r>
    </w:p>
    <w:p>
      <w:pPr>
        <w:pStyle w:val="FirstParagraph"/>
      </w:pPr>
      <w:r>
        <w:t xml:space="preserve">A software component (e.g., a library embedded inside other applications) cannot meet every requirement on its</w:t>
      </w:r>
      <w:r>
        <w:t xml:space="preserve"> </w:t>
      </w:r>
      <w:r>
        <w:t xml:space="preserve">own. Installing the application, updating it, showing a notification to the user, or protecting its own source</w:t>
      </w:r>
      <w:r>
        <w:t xml:space="preserve"> </w:t>
      </w:r>
      <w:r>
        <w:t xml:space="preserve">code is the job of the application that uses the component, not the component itself. These requirements are</w:t>
      </w:r>
      <w:r>
        <w:t xml:space="preserve"> </w:t>
      </w:r>
      <w:r>
        <w:rPr>
          <w:b/>
          <w:bCs/>
        </w:rPr>
        <w:t xml:space="preserve">deferred</w:t>
      </w:r>
      <w:r>
        <w:t xml:space="preserve"> </w:t>
      </w:r>
      <w:r>
        <w:t xml:space="preserve">and written explicitly in the guide’s</w:t>
      </w:r>
      <w:r>
        <w:t xml:space="preserve"> </w:t>
      </w:r>
      <w:r>
        <w:t xml:space="preserve">“security expected from external components”</w:t>
      </w:r>
      <w:r>
        <w:t xml:space="preserve"> </w:t>
      </w:r>
      <w:r>
        <w:t xml:space="preserve">section.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Deferred to whom?</w:t>
            </w:r>
          </w:p>
        </w:tc>
        <w:tc>
          <w:tcPr/>
          <w:p>
            <w:pPr>
              <w:pStyle w:val="Compact"/>
            </w:pPr>
            <w:r>
              <w:t xml:space="preserve">Typical requirement</w:t>
            </w:r>
          </w:p>
        </w:tc>
        <w:tc>
          <w:tcPr/>
          <w:p>
            <w:pPr>
              <w:pStyle w:val="Compact"/>
            </w:pPr>
            <w:r>
              <w:t xml:space="preserve">How is it written in the guide?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Parent application</w:t>
            </w:r>
          </w:p>
        </w:tc>
        <w:tc>
          <w:tcPr/>
          <w:p>
            <w:pPr>
              <w:pStyle w:val="Compact"/>
            </w:pPr>
            <w:r>
              <w:t xml:space="preserve">Secure installation and update</w:t>
            </w:r>
          </w:p>
        </w:tc>
        <w:tc>
          <w:tcPr/>
          <w:p>
            <w:pPr>
              <w:pStyle w:val="Compact"/>
            </w:pPr>
            <w:r>
              <w:t xml:space="preserve">“The application’s distribution and update mechanism is the parent application’s responsibility.”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Parent application</w:t>
            </w:r>
          </w:p>
        </w:tc>
        <w:tc>
          <w:tcPr/>
          <w:p>
            <w:pPr>
              <w:pStyle w:val="Compact"/>
            </w:pPr>
            <w:r>
              <w:t xml:space="preserve">Reporting a compromise to the backend and the user</w:t>
            </w:r>
          </w:p>
        </w:tc>
        <w:tc>
          <w:tcPr/>
          <w:p>
            <w:pPr>
              <w:pStyle w:val="Compact"/>
            </w:pPr>
            <w:r>
              <w:t xml:space="preserve">“The library reports the attack it detects to the parent application (method: …); relaying it to the backend and the user is the parent application’s job.”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Parent application</w:t>
            </w:r>
          </w:p>
        </w:tc>
        <w:tc>
          <w:tcPr/>
          <w:p>
            <w:pPr>
              <w:pStyle w:val="Compact"/>
            </w:pPr>
            <w:r>
              <w:t xml:space="preserve">Hiding and protecting its own source code</w:t>
            </w:r>
          </w:p>
        </w:tc>
        <w:tc>
          <w:tcPr/>
          <w:p>
            <w:pPr>
              <w:pStyle w:val="Compact"/>
            </w:pPr>
            <w:r>
              <w:t xml:space="preserve">“The library only protects its own code; the parent application must take its own protective measures.”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Parent application</w:t>
            </w:r>
          </w:p>
        </w:tc>
        <w:tc>
          <w:tcPr/>
          <w:p>
            <w:pPr>
              <w:pStyle w:val="Compact"/>
            </w:pPr>
            <w:r>
              <w:t xml:space="preserve">Protecting assets passed to the library as parameters</w:t>
            </w:r>
          </w:p>
        </w:tc>
        <w:tc>
          <w:tcPr/>
          <w:p>
            <w:pPr>
              <w:pStyle w:val="Compact"/>
            </w:pPr>
            <w:r>
              <w:t xml:space="preserve">Parameters such as the server address, certificate, and pinning values are listed one by one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Operating system</w:t>
            </w:r>
          </w:p>
        </w:tc>
        <w:tc>
          <w:tcPr/>
          <w:p>
            <w:pPr>
              <w:pStyle w:val="Compact"/>
            </w:pPr>
            <w:r>
              <w:t xml:space="preserve">Application isolation, the minimum supported version</w:t>
            </w:r>
          </w:p>
        </w:tc>
        <w:tc>
          <w:tcPr/>
          <w:p>
            <w:pPr>
              <w:pStyle w:val="Compact"/>
            </w:pPr>
            <w:r>
              <w:t xml:space="preserve">“The minimum supported operating system version is …; there is no security expectation from the operating system beyond this.”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Hardware</w:t>
            </w:r>
          </w:p>
        </w:tc>
        <w:tc>
          <w:tcPr/>
          <w:p>
            <w:pPr>
              <w:pStyle w:val="Compact"/>
            </w:pPr>
            <w:r>
              <w:t xml:space="preserve">Secure element, TEE</w:t>
            </w:r>
          </w:p>
        </w:tc>
        <w:tc>
          <w:tcPr/>
          <w:p>
            <w:pPr>
              <w:pStyle w:val="Compact"/>
            </w:pPr>
            <w:r>
              <w:t xml:space="preserve">If not used,</w:t>
            </w:r>
            <w:r>
              <w:t xml:space="preserve"> </w:t>
            </w:r>
            <w:r>
              <w:t xml:space="preserve">“there is no expectation from hardware”</w:t>
            </w:r>
            <w:r>
              <w:t xml:space="preserve"> </w:t>
            </w:r>
            <w:r>
              <w:t xml:space="preserve">is stated explicitly</w:t>
            </w:r>
          </w:p>
        </w:tc>
      </w:tr>
    </w:tbl>
    <w:p>
      <w:pPr>
        <w:pStyle w:val="BlockText"/>
      </w:pPr>
      <w:r>
        <w:rPr>
          <w:b/>
          <w:bCs/>
        </w:rPr>
        <w:t xml:space="preserve">Deferring is not the same as ignoring</w:t>
      </w:r>
    </w:p>
    <w:p>
      <w:pPr>
        <w:pStyle w:val="BlockText"/>
      </w:pPr>
      <w:r>
        <w:t xml:space="preserve">For every deferred requirement, you write</w:t>
      </w:r>
      <w:r>
        <w:t xml:space="preserve"> </w:t>
      </w:r>
      <w:r>
        <w:rPr>
          <w:b/>
          <w:bCs/>
        </w:rPr>
        <w:t xml:space="preserve">to whom</w:t>
      </w:r>
      <w:r>
        <w:t xml:space="preserve">,</w:t>
      </w:r>
      <w:r>
        <w:t xml:space="preserve"> </w:t>
      </w:r>
      <w:r>
        <w:rPr>
          <w:b/>
          <w:bCs/>
        </w:rPr>
        <w:t xml:space="preserve">why</w:t>
      </w:r>
      <w:r>
        <w:t xml:space="preserve"> </w:t>
      </w:r>
      <w:r>
        <w:t xml:space="preserve">it was deferred, and</w:t>
      </w:r>
      <w:r>
        <w:t xml:space="preserve"> </w:t>
      </w:r>
      <w:r>
        <w:rPr>
          <w:b/>
          <w:bCs/>
        </w:rPr>
        <w:t xml:space="preserve">how</w:t>
      </w:r>
      <w:r>
        <w:t xml:space="preserve"> </w:t>
      </w:r>
      <w:r>
        <w:t xml:space="preserve">the other party</w:t>
      </w:r>
      <w:r>
        <w:t xml:space="preserve"> </w:t>
      </w:r>
      <w:r>
        <w:t xml:space="preserve">can meet it. Leaving responsibility vague turns into a gap where both sides assume</w:t>
      </w:r>
      <w:r>
        <w:t xml:space="preserve"> </w:t>
      </w:r>
      <w:r>
        <w:t xml:space="preserve">“the other one is doing</w:t>
      </w:r>
      <w:r>
        <w:t xml:space="preserve"> </w:t>
      </w:r>
      <w:r>
        <w:t xml:space="preserve">it.”</w:t>
      </w:r>
      <w:r>
        <w:t xml:space="preserve"> </w:t>
      </w:r>
      <w:r>
        <w:t xml:space="preserve">In the field, a library is seen weighing two options for reporting a compromise to the parent</w:t>
      </w:r>
      <w:r>
        <w:t xml:space="preserve"> </w:t>
      </w:r>
      <w:r>
        <w:t xml:space="preserve">application (wiping all data and writing a flag file, or letting the parent application delete its own file),</w:t>
      </w:r>
      <w:r>
        <w:t xml:space="preserve"> </w:t>
      </w:r>
      <w:r>
        <w:t xml:space="preserve">discussing their pros and cons, and choosing one with a rationale; that discussion is written into the guide.</w:t>
      </w:r>
    </w:p>
    <w:bookmarkEnd w:id="73"/>
    <w:bookmarkStart w:id="74" w:name="Xcdd97c54af252ea2b14757f3977402a9dfa6d58"/>
    <w:p>
      <w:pPr>
        <w:pStyle w:val="Heading3"/>
      </w:pPr>
      <w:r>
        <w:t xml:space="preserve">For your project: S14</w:t>
      </w:r>
      <w:r>
        <w:t xml:space="preserve"> </w:t>
      </w:r>
      <w:r>
        <w:t xml:space="preserve">“Assumptions and deferred requirements”</w:t>
      </w:r>
    </w:p>
    <w:p>
      <w:pPr>
        <w:pStyle w:val="FirstParagraph"/>
      </w:pPr>
      <w:r>
        <w:t xml:space="preserve">Even if your project is a standalone application, it has assumptions: the supported operating systems, that the</w:t>
      </w:r>
      <w:r>
        <w:t xml:space="preserve"> </w:t>
      </w:r>
      <w:r>
        <w:t xml:space="preserve">user is not an administrator, that the build environment is trustworthy, that the server is protected by a</w:t>
      </w:r>
      <w:r>
        <w:t xml:space="preserve"> </w:t>
      </w:r>
      <w:r>
        <w:t xml:space="preserve">separate team. Writing these down</w:t>
      </w:r>
      <w:r>
        <w:t xml:space="preserve"> </w:t>
      </w:r>
      <w:r>
        <w:rPr>
          <w:b/>
          <w:bCs/>
        </w:rPr>
        <w:t xml:space="preserve">explicitly</w:t>
      </w:r>
      <w:r>
        <w:t xml:space="preserve"> </w:t>
      </w:r>
      <w:r>
        <w:t xml:space="preserve">helps the evaluator correctly understand the scope, and answers</w:t>
      </w:r>
      <w:r>
        <w:t xml:space="preserve"> </w:t>
      </w:r>
      <w:r>
        <w:t xml:space="preserve">the question</w:t>
      </w:r>
      <w:r>
        <w:t xml:space="preserve"> </w:t>
      </w:r>
      <w:r>
        <w:t xml:space="preserve">“why is this threat out of scope?”</w:t>
      </w:r>
      <w:r>
        <w:t xml:space="preserve"> </w:t>
      </w:r>
      <w:r>
        <w:t xml:space="preserve">in advance.</w:t>
      </w:r>
    </w:p>
    <w:bookmarkEnd w:id="74"/>
    <w:bookmarkStart w:id="75" w:name="X1dfc31d98233a18d7270a81fd4de04f5220de63"/>
    <w:p>
      <w:pPr>
        <w:pStyle w:val="Heading3"/>
      </w:pPr>
      <w:r>
        <w:t xml:space="preserve">Worked example: filling in the requirement block from start to finish</w:t>
      </w:r>
    </w:p>
    <w:p>
      <w:pPr>
        <w:pStyle w:val="FirstParagraph"/>
      </w:pPr>
      <w:r>
        <w:t xml:space="preserve">Let’s fill in the pattern with a real example; this is the</w:t>
      </w:r>
      <w:r>
        <w:t xml:space="preserve"> </w:t>
      </w:r>
      <w:r>
        <w:rPr>
          <w:b/>
          <w:bCs/>
        </w:rPr>
        <w:t xml:space="preserve">written-up-in-the-guide</w:t>
      </w:r>
      <w:r>
        <w:t xml:space="preserve"> </w:t>
      </w:r>
      <w:r>
        <w:t xml:space="preserve">form of the</w:t>
      </w:r>
      <w:r>
        <w:t xml:space="preserve"> </w:t>
      </w:r>
      <w:r>
        <w:rPr>
          <w:rStyle w:val="VerbatimChar"/>
        </w:rPr>
        <w:t xml:space="preserve">CEN429-DR-01</w:t>
      </w:r>
      <w:r>
        <w:t xml:space="preserve"> </w:t>
      </w:r>
      <w:r>
        <w:t xml:space="preserve">chain from Section 2:</w:t>
      </w:r>
    </w:p>
    <w:p>
      <w:pPr>
        <w:pStyle w:val="SourceCode"/>
      </w:pPr>
      <w:r>
        <w:rPr>
          <w:rStyle w:val="VerbatimChar"/>
        </w:rPr>
        <w:t xml:space="preserve">[CEN429-DR] CEN429-DR-01 — Met</w:t>
      </w:r>
      <w:r>
        <w:br/>
      </w:r>
      <w:r>
        <w:rPr>
          <w:rStyle w:val="VerbatimChar"/>
        </w:rPr>
        <w:t xml:space="preserve">Requirement: Class-C sensitive data at rest must be protected with authenticated encryption (AEAD).</w:t>
      </w:r>
      <w:r>
        <w:br/>
      </w:r>
      <w:r>
        <w:rPr>
          <w:rStyle w:val="VerbatimChar"/>
        </w:rPr>
        <w:t xml:space="preserve">Compliance: The local vault file is encrypted with AES-256-GCM (see S7.2 "Vault file encryption").</w:t>
      </w:r>
      <w:r>
        <w:br/>
      </w:r>
      <w:r>
        <w:rPr>
          <w:rStyle w:val="VerbatimChar"/>
        </w:rPr>
        <w:t xml:space="preserve">The encryption key is derived from the device's secure storage unit (Android Keystore / iOS</w:t>
      </w:r>
      <w:r>
        <w:br/>
      </w:r>
      <w:r>
        <w:rPr>
          <w:rStyle w:val="VerbatimChar"/>
        </w:rPr>
        <w:t xml:space="preserve">Keychain) and is never stored as plaintext outside memory. Verification: a unit test</w:t>
      </w:r>
      <w:r>
        <w:br/>
      </w:r>
      <w:r>
        <w:rPr>
          <w:rStyle w:val="VerbatimChar"/>
        </w:rPr>
        <w:t xml:space="preserve">(test_butunluk.c) checks that changing a single byte of the encrypted file and then decrypting it is</w:t>
      </w:r>
      <w:r>
        <w:br/>
      </w:r>
      <w:r>
        <w:rPr>
          <w:rStyle w:val="VerbatimChar"/>
        </w:rPr>
        <w:t xml:space="preserve">rejected. Evidence: CI run record #482, test output evidence/week13/test_butunluk_ci482.log.</w:t>
      </w:r>
    </w:p>
    <w:p>
      <w:pPr>
        <w:pStyle w:val="FirstParagraph"/>
      </w:pPr>
      <w:r>
        <w:t xml:space="preserve">Every line in the block serves a purpose: the</w:t>
      </w:r>
      <w:r>
        <w:t xml:space="preserve"> </w:t>
      </w:r>
      <w:r>
        <w:rPr>
          <w:b/>
          <w:bCs/>
        </w:rPr>
        <w:t xml:space="preserve">header line</w:t>
      </w:r>
      <w:r>
        <w:t xml:space="preserve"> </w:t>
      </w:r>
      <w:r>
        <w:t xml:space="preserve">(</w:t>
      </w:r>
      <w:r>
        <w:rPr>
          <w:rStyle w:val="VerbatimChar"/>
        </w:rPr>
        <w:t xml:space="preserve">[Family] Id — Status</w:t>
      </w:r>
      <w:r>
        <w:t xml:space="preserve">) tells the evaluator’s eye</w:t>
      </w:r>
      <w:r>
        <w:t xml:space="preserve"> </w:t>
      </w:r>
      <w:r>
        <w:t xml:space="preserve">quickly where to go; the</w:t>
      </w:r>
      <w:r>
        <w:t xml:space="preserve"> </w:t>
      </w:r>
      <w:r>
        <w:rPr>
          <w:b/>
          <w:bCs/>
        </w:rPr>
        <w:t xml:space="preserve">Requirement</w:t>
      </w:r>
      <w:r>
        <w:t xml:space="preserve"> </w:t>
      </w:r>
      <w:r>
        <w:t xml:space="preserve">line repeats the</w:t>
      </w:r>
      <w:r>
        <w:t xml:space="preserve"> </w:t>
      </w:r>
      <w:r>
        <w:t xml:space="preserve">“what”</w:t>
      </w:r>
      <w:r>
        <w:t xml:space="preserve"> </w:t>
      </w:r>
      <w:r>
        <w:t xml:space="preserve">coming from the standard or the threat model</w:t>
      </w:r>
      <w:r>
        <w:t xml:space="preserve"> </w:t>
      </w:r>
      <w:r>
        <w:t xml:space="preserve">(copy-paste, not reinterpreted); the</w:t>
      </w:r>
      <w:r>
        <w:t xml:space="preserve"> </w:t>
      </w:r>
      <w:r>
        <w:rPr>
          <w:b/>
          <w:bCs/>
        </w:rPr>
        <w:t xml:space="preserve">Compliance</w:t>
      </w:r>
      <w:r>
        <w:t xml:space="preserve"> </w:t>
      </w:r>
      <w:r>
        <w:t xml:space="preserve">paragraph describes the</w:t>
      </w:r>
      <w:r>
        <w:t xml:space="preserve"> </w:t>
      </w:r>
      <w:r>
        <w:t xml:space="preserve">“how,”</w:t>
      </w:r>
      <w:r>
        <w:t xml:space="preserve"> </w:t>
      </w:r>
      <w:r>
        <w:t xml:space="preserve">with concrete file and section</w:t>
      </w:r>
      <w:r>
        <w:t xml:space="preserve"> </w:t>
      </w:r>
      <w:r>
        <w:t xml:space="preserve">names; the</w:t>
      </w:r>
      <w:r>
        <w:t xml:space="preserve"> </w:t>
      </w:r>
      <w:r>
        <w:rPr>
          <w:b/>
          <w:bCs/>
        </w:rPr>
        <w:t xml:space="preserve">Verification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Evidence</w:t>
      </w:r>
      <w:r>
        <w:t xml:space="preserve"> </w:t>
      </w:r>
      <w:r>
        <w:t xml:space="preserve">sentences complete the last two links of the chain from Section 2.</w:t>
      </w:r>
    </w:p>
    <w:p>
      <w:pPr>
        <w:pStyle w:val="BodyText"/>
      </w:pPr>
      <w:r>
        <w:t xml:space="preserve">Now let’s fill in the same pattern for a</w:t>
      </w:r>
      <w:r>
        <w:t xml:space="preserve"> </w:t>
      </w:r>
      <w:r>
        <w:rPr>
          <w:b/>
          <w:bCs/>
        </w:rPr>
        <w:t xml:space="preserve">deferred</w:t>
      </w:r>
      <w:r>
        <w:t xml:space="preserve"> </w:t>
      </w:r>
      <w:r>
        <w:t xml:space="preserve">requirement — this time the parent application meets it,</w:t>
      </w:r>
      <w:r>
        <w:t xml:space="preserve"> </w:t>
      </w:r>
      <w:r>
        <w:t xml:space="preserve">not the product itself:</w:t>
      </w:r>
    </w:p>
    <w:p>
      <w:pPr>
        <w:pStyle w:val="SourceCode"/>
      </w:pPr>
      <w:r>
        <w:rPr>
          <w:rStyle w:val="VerbatimChar"/>
        </w:rPr>
        <w:t xml:space="preserve">[CEN429-AP] CEN429-AP-07 — Deferred (to the parent application)</w:t>
      </w:r>
      <w:r>
        <w:br/>
      </w:r>
      <w:r>
        <w:rPr>
          <w:rStyle w:val="VerbatimChar"/>
        </w:rPr>
        <w:t xml:space="preserve">Requirement: The application must be installed and updated securely.</w:t>
      </w:r>
      <w:r>
        <w:br/>
      </w:r>
      <w:r>
        <w:rPr>
          <w:rStyle w:val="VerbatimChar"/>
        </w:rPr>
        <w:t xml:space="preserve">Compliance: The library does not have its own distribution/update mechanism; this is the</w:t>
      </w:r>
      <w:r>
        <w:br/>
      </w:r>
      <w:r>
        <w:rPr>
          <w:rStyle w:val="VerbatimChar"/>
        </w:rPr>
        <w:t xml:space="preserve">responsibility of the parent application that packages the library. The recommended method for the</w:t>
      </w:r>
      <w:r>
        <w:br/>
      </w:r>
      <w:r>
        <w:rPr>
          <w:rStyle w:val="VerbatimChar"/>
        </w:rPr>
        <w:t xml:space="preserve">parent application's developer: (1) use the official app store's signature verification, (2) if a</w:t>
      </w:r>
      <w:r>
        <w:br/>
      </w:r>
      <w:r>
        <w:rPr>
          <w:rStyle w:val="VerbatimChar"/>
        </w:rPr>
        <w:t xml:space="preserve">custom update channel is used, sign update packages with the signing scheme described in Week 6.</w:t>
      </w:r>
      <w:r>
        <w:br/>
      </w:r>
      <w:r>
        <w:rPr>
          <w:rStyle w:val="VerbatimChar"/>
        </w:rPr>
        <w:t xml:space="preserve">To whom: the parent application's developer. Why: the library does not access installation at the</w:t>
      </w:r>
      <w:r>
        <w:br/>
      </w:r>
      <w:r>
        <w:rPr>
          <w:rStyle w:val="VerbatimChar"/>
        </w:rPr>
        <w:t xml:space="preserve">network/file-system level, it is only called as an API. How: one of the two methods above, detailed in the guide's "Security expected from external components" section.</w:t>
      </w:r>
    </w:p>
    <w:p>
      <w:pPr>
        <w:pStyle w:val="FirstParagraph"/>
      </w:pPr>
      <w:r>
        <w:t xml:space="preserve">Notice that the</w:t>
      </w:r>
      <w:r>
        <w:t xml:space="preserve"> </w:t>
      </w:r>
      <w:r>
        <w:t xml:space="preserve">“deferred”</w:t>
      </w:r>
      <w:r>
        <w:t xml:space="preserve"> </w:t>
      </w:r>
      <w:r>
        <w:t xml:space="preserve">block also has a</w:t>
      </w:r>
      <w:r>
        <w:t xml:space="preserve"> </w:t>
      </w:r>
      <w:r>
        <w:rPr>
          <w:b/>
          <w:bCs/>
        </w:rPr>
        <w:t xml:space="preserve">Compliance</w:t>
      </w:r>
      <w:r>
        <w:t xml:space="preserve"> </w:t>
      </w:r>
      <w:r>
        <w:t xml:space="preserve">field — but this field answers</w:t>
      </w:r>
      <w:r>
        <w:t xml:space="preserve"> </w:t>
      </w:r>
      <w:r>
        <w:t xml:space="preserve">“how must the other</w:t>
      </w:r>
      <w:r>
        <w:t xml:space="preserve"> </w:t>
      </w:r>
      <w:r>
        <w:t xml:space="preserve">party do it, and why aren’t we doing it ourselves”</w:t>
      </w:r>
      <w:r>
        <w:t xml:space="preserve"> </w:t>
      </w:r>
      <w:r>
        <w:t xml:space="preserve">rather than</w:t>
      </w:r>
      <w:r>
        <w:t xml:space="preserve"> </w:t>
      </w:r>
      <w:r>
        <w:t xml:space="preserve">“how did we do it.”</w:t>
      </w:r>
      <w:r>
        <w:t xml:space="preserve"> </w:t>
      </w:r>
      <w:r>
        <w:t xml:space="preserve">Deferring does not mean</w:t>
      </w:r>
      <w:r>
        <w:t xml:space="preserve"> </w:t>
      </w:r>
      <w:r>
        <w:t xml:space="preserve">leaving that field blank; on the contrary, it demands</w:t>
      </w:r>
      <w:r>
        <w:t xml:space="preserve"> </w:t>
      </w:r>
      <w:r>
        <w:rPr>
          <w:b/>
          <w:bCs/>
        </w:rPr>
        <w:t xml:space="preserve">more</w:t>
      </w:r>
      <w:r>
        <w:t xml:space="preserve"> </w:t>
      </w:r>
      <w:r>
        <w:t xml:space="preserve">explanation, because you have to prove where the</w:t>
      </w:r>
      <w:r>
        <w:t xml:space="preserve"> </w:t>
      </w:r>
      <w:r>
        <w:t xml:space="preserve">boundary of responsibility lies.</w:t>
      </w:r>
    </w:p>
    <w:bookmarkEnd w:id="75"/>
    <w:bookmarkStart w:id="76" w:name="X5a734deabe63bba308025c0ae98e45311bdbaf1"/>
    <w:p>
      <w:pPr>
        <w:pStyle w:val="Heading3"/>
      </w:pPr>
      <w:r>
        <w:t xml:space="preserve">Three assumptions commonly overlooked when filling in S14</w:t>
      </w:r>
    </w:p>
    <w:p>
      <w:pPr>
        <w:pStyle w:val="FirstParagraph"/>
      </w:pPr>
      <w:r>
        <w:t xml:space="preserve">Projects usually forget these three assumptions; check for them when adding to S14: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Is the build environment trustworthy?</w:t>
      </w:r>
      <w:r>
        <w:t xml:space="preserve"> </w:t>
      </w:r>
      <w:r>
        <w:t xml:space="preserve">The assumption</w:t>
      </w:r>
      <w:r>
        <w:t xml:space="preserve"> </w:t>
      </w:r>
      <w:r>
        <w:t xml:space="preserve">“an attacker cannot access the build server”</w:t>
      </w:r>
      <w:r>
        <w:t xml:space="preserve"> </w:t>
      </w:r>
      <w:r>
        <w:t xml:space="preserve">is</w:t>
      </w:r>
      <w:r>
        <w:t xml:space="preserve"> </w:t>
      </w:r>
      <w:r>
        <w:t xml:space="preserve">usually not written down, but it is a foundation every project rests on (Week 6, supply-chain security).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Is the user’s device not rooted/jailbroken?</w:t>
      </w:r>
      <w:r>
        <w:t xml:space="preserve"> </w:t>
      </w:r>
      <w:r>
        <w:t xml:space="preserve">If it is, which controls become invalid (e.g., secure storage</w:t>
      </w:r>
      <w:r>
        <w:t xml:space="preserve"> </w:t>
      </w:r>
      <w:r>
        <w:t xml:space="preserve">may no longer be secure) must be stated explicitly.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Is the server side protected by a separate team?</w:t>
      </w:r>
      <w:r>
        <w:t xml:space="preserve"> </w:t>
      </w:r>
      <w:r>
        <w:t xml:space="preserve">If so, it must be stated clearly which requirements</w:t>
      </w:r>
      <w:r>
        <w:t xml:space="preserve"> </w:t>
      </w:r>
      <w:r>
        <w:t xml:space="preserve">(e.g., server-side access control) are</w:t>
      </w:r>
      <w:r>
        <w:t xml:space="preserve"> </w:t>
      </w:r>
      <w:r>
        <w:rPr>
          <w:b/>
          <w:bCs/>
        </w:rPr>
        <w:t xml:space="preserve">out of scope</w:t>
      </w:r>
      <w:r>
        <w:t xml:space="preserve"> </w:t>
      </w:r>
      <w:r>
        <w:t xml:space="preserve">for this project; otherwise the evaluator will expect</w:t>
      </w:r>
      <w:r>
        <w:t xml:space="preserve"> </w:t>
      </w:r>
      <w:r>
        <w:t xml:space="preserve">them from this project too.</w:t>
      </w:r>
    </w:p>
    <w:p>
      <w:pPr>
        <w:pStyle w:val="BlockText"/>
      </w:pPr>
      <w:r>
        <w:rPr>
          <w:b/>
          <w:bCs/>
        </w:rPr>
        <w:t xml:space="preserve">Common mistake: filling the compliance text with marketing language</w:t>
      </w:r>
    </w:p>
    <w:p>
      <w:pPr>
        <w:pStyle w:val="BlockText"/>
      </w:pPr>
      <w:r>
        <w:t xml:space="preserve">A sentence like</w:t>
      </w:r>
      <w:r>
        <w:t xml:space="preserve"> </w:t>
      </w:r>
      <w:r>
        <w:t xml:space="preserve">“Our product uses industry-standard encryption and protects your data securely”</w:t>
      </w:r>
      <w:r>
        <w:t xml:space="preserve"> </w:t>
      </w:r>
      <w:r>
        <w:t xml:space="preserve">is a typical</w:t>
      </w:r>
      <w:r>
        <w:t xml:space="preserve"> </w:t>
      </w:r>
      <w:r>
        <w:t xml:space="preserve">mistake written in the compliance field that makes nothing</w:t>
      </w:r>
      <w:r>
        <w:t xml:space="preserve"> </w:t>
      </w:r>
      <w:r>
        <w:rPr>
          <w:b/>
          <w:bCs/>
        </w:rPr>
        <w:t xml:space="preserve">verifiable</w:t>
      </w:r>
      <w:r>
        <w:t xml:space="preserve">. Which file, which section, which</w:t>
      </w:r>
      <w:r>
        <w:t xml:space="preserve"> </w:t>
      </w:r>
      <w:r>
        <w:t xml:space="preserve">test — without any of these the sentence looks nice but is useless to the evaluator; the matrix demo 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02-gereksinim-kalite</w:t>
      </w:r>
      <w:r>
        <w:t xml:space="preserve">) flags exactly this kind of</w:t>
      </w:r>
      <w:r>
        <w:t xml:space="preserve"> </w:t>
      </w:r>
      <w:r>
        <w:t xml:space="preserve">“vague/unverifiable”</w:t>
      </w:r>
      <w:r>
        <w:t xml:space="preserve"> </w:t>
      </w:r>
      <w:r>
        <w:t xml:space="preserve">wording as WEAK for precisely this</w:t>
      </w:r>
      <w:r>
        <w:t xml:space="preserve"> </w:t>
      </w:r>
      <w:r>
        <w:t xml:space="preserve">reason.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The compliance text must always end with a</w:t>
      </w:r>
      <w:r>
        <w:t xml:space="preserve"> </w:t>
      </w:r>
      <w:r>
        <w:rPr>
          <w:b/>
          <w:bCs/>
        </w:rPr>
        <w:t xml:space="preserve">concrete reference</w:t>
      </w:r>
      <w:r>
        <w:t xml:space="preserve">: a file name, a code section, a guide</w:t>
      </w:r>
      <w:r>
        <w:t xml:space="preserve"> </w:t>
      </w:r>
      <w:r>
        <w:t xml:space="preserve">subsection, a test name. If a sentence has marketing adjectives (</w:t>
      </w:r>
      <w:r>
        <w:t xml:space="preserve">“strong,”</w:t>
      </w:r>
      <w:r>
        <w:t xml:space="preserve"> </w:t>
      </w:r>
      <w:r>
        <w:t xml:space="preserve">“industry-standard,”</w:t>
      </w:r>
      <w:r>
        <w:t xml:space="preserve"> </w:t>
      </w:r>
      <w:r>
        <w:t xml:space="preserve">“best</w:t>
      </w:r>
      <w:r>
        <w:t xml:space="preserve"> </w:t>
      </w:r>
      <w:r>
        <w:t xml:space="preserve">practice”</w:t>
      </w:r>
      <w:r>
        <w:t xml:space="preserve">) but no reference behind them, rewrite that sentence.</w:t>
      </w:r>
    </w:p>
    <w:bookmarkEnd w:id="76"/>
    <w:bookmarkStart w:id="77" w:name="X77454486b4c44e451294fc60020b676d304c68c"/>
    <w:p>
      <w:pPr>
        <w:pStyle w:val="Heading3"/>
      </w:pPr>
      <w:r>
        <w:t xml:space="preserve">Why deferring is not a bad thing (rationale)</w:t>
      </w:r>
    </w:p>
    <w:p>
      <w:pPr>
        <w:pStyle w:val="FirstParagraph"/>
      </w:pPr>
      <w:r>
        <w:t xml:space="preserve">New developers perceive the word</w:t>
      </w:r>
      <w:r>
        <w:t xml:space="preserve"> </w:t>
      </w:r>
      <w:r>
        <w:t xml:space="preserve">“deferring”</w:t>
      </w:r>
      <w:r>
        <w:t xml:space="preserve"> </w:t>
      </w:r>
      <w:r>
        <w:t xml:space="preserve">as a weakness and try to meet everything in their own component —</w:t>
      </w:r>
      <w:r>
        <w:t xml:space="preserve"> </w:t>
      </w:r>
      <w:r>
        <w:t xml:space="preserve">this usually leads to the component trying to take on tasks it</w:t>
      </w:r>
      <w:r>
        <w:t xml:space="preserve"> </w:t>
      </w:r>
      <w:r>
        <w:rPr>
          <w:b/>
          <w:bCs/>
        </w:rPr>
        <w:t xml:space="preserve">cannot</w:t>
      </w:r>
      <w:r>
        <w:t xml:space="preserve"> </w:t>
      </w:r>
      <w:r>
        <w:t xml:space="preserve">do (installation, OS-level isolation,</w:t>
      </w:r>
      <w:r>
        <w:t xml:space="preserve"> </w:t>
      </w:r>
      <w:r>
        <w:t xml:space="preserve">UI warnings), or worse, silently skipping them without handling them at all. In the certification world,</w:t>
      </w:r>
      <w:r>
        <w:t xml:space="preserve"> </w:t>
      </w:r>
      <w:r>
        <w:rPr>
          <w:b/>
          <w:bCs/>
        </w:rPr>
        <w:t xml:space="preserve">drawing boundaries explicitly</w:t>
      </w:r>
      <w:r>
        <w:t xml:space="preserve"> </w:t>
      </w:r>
      <w:r>
        <w:t xml:space="preserve">always scores better than</w:t>
      </w:r>
      <w:r>
        <w:t xml:space="preserve"> </w:t>
      </w:r>
      <w:r>
        <w:rPr>
          <w:b/>
          <w:bCs/>
        </w:rPr>
        <w:t xml:space="preserve">leaving boundaries vague</w:t>
      </w:r>
      <w:r>
        <w:t xml:space="preserve">: an evaluator trusts a</w:t>
      </w:r>
      <w:r>
        <w:t xml:space="preserve"> </w:t>
      </w:r>
      <w:r>
        <w:t xml:space="preserve">guide that knows who was deferred what; they do not trust a guide that says</w:t>
      </w:r>
      <w:r>
        <w:t xml:space="preserve"> </w:t>
      </w:r>
      <w:r>
        <w:t xml:space="preserve">“we handle everything ourselves”</w:t>
      </w:r>
      <w:r>
        <w:t xml:space="preserve"> </w:t>
      </w:r>
      <w:r>
        <w:t xml:space="preserve">but</w:t>
      </w:r>
      <w:r>
        <w:t xml:space="preserve"> </w:t>
      </w:r>
      <w:r>
        <w:t xml:space="preserve">cannot produce evidence.</w:t>
      </w:r>
    </w:p>
    <w:bookmarkEnd w:id="77"/>
    <w:bookmarkStart w:id="78" w:name="X3e55a5cd41799bc384abb84863255d172990465"/>
    <w:p>
      <w:pPr>
        <w:pStyle w:val="Heading3"/>
      </w:pPr>
      <w:r>
        <w:t xml:space="preserve">Worked example: the requirement block in the</w:t>
      </w:r>
      <w:r>
        <w:t xml:space="preserve"> </w:t>
      </w:r>
      <w:r>
        <w:t xml:space="preserve">‘not met’</w:t>
      </w:r>
      <w:r>
        <w:t xml:space="preserve"> </w:t>
      </w:r>
      <w:r>
        <w:t xml:space="preserve">state</w:t>
      </w:r>
    </w:p>
    <w:p>
      <w:pPr>
        <w:pStyle w:val="FirstParagraph"/>
      </w:pPr>
      <w:r>
        <w:t xml:space="preserve">Some requirements are neither met nor deferred yet — the project has consciously decided to carry this risk. The</w:t>
      </w:r>
      <w:r>
        <w:t xml:space="preserve"> </w:t>
      </w:r>
      <w:r>
        <w:t xml:space="preserve">block’s form in this state:</w:t>
      </w:r>
    </w:p>
    <w:p>
      <w:pPr>
        <w:pStyle w:val="SourceCode"/>
      </w:pPr>
      <w:r>
        <w:rPr>
          <w:rStyle w:val="VerbatimChar"/>
        </w:rPr>
        <w:t xml:space="preserve">[CEN429-DT] CEN429-DT-04 — Not met</w:t>
      </w:r>
      <w:r>
        <w:br/>
      </w:r>
      <w:r>
        <w:rPr>
          <w:rStyle w:val="VerbatimChar"/>
        </w:rPr>
        <w:t xml:space="preserve">Requirement: The server certificate must be pinned (certificate pinning).</w:t>
      </w:r>
      <w:r>
        <w:br/>
      </w:r>
      <w:r>
        <w:rPr>
          <w:rStyle w:val="VerbatimChar"/>
        </w:rPr>
        <w:t xml:space="preserve">Status: Not currently implemented; only standard TLS certificate chain validation is performed</w:t>
      </w:r>
      <w:r>
        <w:br/>
      </w:r>
      <w:r>
        <w:rPr>
          <w:rStyle w:val="VerbatimChar"/>
        </w:rPr>
        <w:t xml:space="preserve">(CEN429-DT-01 is met, but pinning is absent). Residual risk: if an attacker manages to obtain a</w:t>
      </w:r>
      <w:r>
        <w:br/>
      </w:r>
      <w:r>
        <w:rPr>
          <w:rStyle w:val="VerbatimChar"/>
        </w:rPr>
        <w:t xml:space="preserve">fraudulent certificate from a trusted root certificate authority, MITM may become possible (see</w:t>
      </w:r>
      <w:r>
        <w:br/>
      </w:r>
      <w:r>
        <w:rPr>
          <w:rStyle w:val="VerbatimChar"/>
        </w:rPr>
        <w:t xml:space="preserve">S16.4). Planned fix: pinning will be added in v1.1 (see project plan, task #217).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“not met”</w:t>
      </w:r>
      <w:r>
        <w:t xml:space="preserve"> </w:t>
      </w:r>
      <w:r>
        <w:t xml:space="preserve">block fills in the</w:t>
      </w:r>
      <w:r>
        <w:t xml:space="preserve"> </w:t>
      </w:r>
      <w:r>
        <w:rPr>
          <w:b/>
          <w:bCs/>
        </w:rPr>
        <w:t xml:space="preserve">Status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Residual risk</w:t>
      </w:r>
      <w:r>
        <w:t xml:space="preserve"> </w:t>
      </w:r>
      <w:r>
        <w:t xml:space="preserve">fields instead of</w:t>
      </w:r>
      <w:r>
        <w:t xml:space="preserve"> </w:t>
      </w:r>
      <w:r>
        <w:rPr>
          <w:b/>
          <w:bCs/>
        </w:rPr>
        <w:t xml:space="preserve">Compliance</w:t>
      </w:r>
      <w:r>
        <w:t xml:space="preserve">; this</w:t>
      </w:r>
      <w:r>
        <w:t xml:space="preserve"> </w:t>
      </w:r>
      <w:r>
        <w:t xml:space="preserve">honestly states that the requirement will be met in the future but is not met right now. Not writing it at all</w:t>
      </w:r>
      <w:r>
        <w:t xml:space="preserve"> </w:t>
      </w:r>
      <w:r>
        <w:t xml:space="preserve">(removing the row from the matrix) is worse: the evaluator finds the requirement themselves and asks</w:t>
      </w:r>
      <w:r>
        <w:t xml:space="preserve"> </w:t>
      </w:r>
      <w:r>
        <w:t xml:space="preserve">“why did you</w:t>
      </w:r>
      <w:r>
        <w:t xml:space="preserve"> </w:t>
      </w:r>
      <w:r>
        <w:t xml:space="preserve">skip this?”</w:t>
      </w:r>
    </w:p>
    <w:bookmarkEnd w:id="78"/>
    <w:bookmarkStart w:id="79" w:name="Xffee6865f8972c9c1d9a123cffd57a25491cd79"/>
    <w:p>
      <w:pPr>
        <w:pStyle w:val="Heading3"/>
      </w:pPr>
      <w:r>
        <w:t xml:space="preserve">A hard deferral decision: when does hardware take on a requirement, and when doesn’t it?</w:t>
      </w:r>
    </w:p>
    <w:p>
      <w:pPr>
        <w:pStyle w:val="FirstParagraph"/>
      </w:pPr>
      <w:r>
        <w:t xml:space="preserve">“If there is no hardware secure element (secure element/TEE), a requirement cannot be deferred to hardware”</w:t>
      </w:r>
      <w:r>
        <w:t xml:space="preserve"> </w:t>
      </w:r>
      <w:r>
        <w:t xml:space="preserve">—</w:t>
      </w:r>
      <w:r>
        <w:t xml:space="preserve"> </w:t>
      </w:r>
      <w:r>
        <w:t xml:space="preserve">this simple rule is sometimes applied incorrectly. Take, for example, the requirement</w:t>
      </w:r>
      <w:r>
        <w:t xml:space="preserve"> </w:t>
      </w:r>
      <w:r>
        <w:t xml:space="preserve">“the key must be protected</w:t>
      </w:r>
      <w:r>
        <w:t xml:space="preserve"> </w:t>
      </w:r>
      <w:r>
        <w:t xml:space="preserve">against physical attack”</w:t>
      </w:r>
      <w:r>
        <w:t xml:space="preserve">:</w:t>
      </w:r>
    </w:p>
    <w:p>
      <w:pPr>
        <w:pStyle w:val="Compact"/>
        <w:numPr>
          <w:ilvl w:val="0"/>
          <w:numId w:val="1023"/>
        </w:numPr>
      </w:pPr>
      <w:r>
        <w:t xml:space="preserve">If the device</w:t>
      </w:r>
      <w:r>
        <w:t xml:space="preserve"> </w:t>
      </w:r>
      <w:r>
        <w:rPr>
          <w:b/>
          <w:bCs/>
        </w:rPr>
        <w:t xml:space="preserve">has</w:t>
      </w:r>
      <w:r>
        <w:t xml:space="preserve"> </w:t>
      </w:r>
      <w:r>
        <w:t xml:space="preserve">a secure element: the requirement can be deferred to hardware; the guide states</w:t>
      </w:r>
      <w:r>
        <w:t xml:space="preserve"> </w:t>
      </w:r>
      <w:r>
        <w:t xml:space="preserve">“key</w:t>
      </w:r>
      <w:r>
        <w:t xml:space="preserve"> </w:t>
      </w:r>
      <w:r>
        <w:t xml:space="preserve">generation and storage are deferred to the device’s secure element, the application only calls the API.”</w:t>
      </w:r>
    </w:p>
    <w:p>
      <w:pPr>
        <w:pStyle w:val="Compact"/>
        <w:numPr>
          <w:ilvl w:val="0"/>
          <w:numId w:val="1023"/>
        </w:numPr>
      </w:pPr>
      <w:r>
        <w:t xml:space="preserve">If the device</w:t>
      </w:r>
      <w:r>
        <w:t xml:space="preserve"> </w:t>
      </w:r>
      <w:r>
        <w:rPr>
          <w:b/>
          <w:bCs/>
        </w:rPr>
        <w:t xml:space="preserve">does not have</w:t>
      </w:r>
      <w:r>
        <w:t xml:space="preserve"> </w:t>
      </w:r>
      <w:r>
        <w:t xml:space="preserve">a secure element: the requirement cannot be deferred, because there is no party</w:t>
      </w:r>
      <w:r>
        <w:t xml:space="preserve"> </w:t>
      </w:r>
      <w:r>
        <w:t xml:space="preserve">to defer it to. In this case the product itself must implement a software-based control (e.g., white-box</w:t>
      </w:r>
      <w:r>
        <w:t xml:space="preserve"> </w:t>
      </w:r>
      <w:r>
        <w:t xml:space="preserve">cryptography, code obfuscation), or mark the requirement</w:t>
      </w:r>
      <w:r>
        <w:t xml:space="preserve"> </w:t>
      </w:r>
      <w:r>
        <w:t xml:space="preserve">“not met”</w:t>
      </w:r>
      <w:r>
        <w:t xml:space="preserve"> </w:t>
      </w:r>
      <w:r>
        <w:t xml:space="preserve">and write the residual risk.</w:t>
      </w:r>
    </w:p>
    <w:p>
      <w:pPr>
        <w:pStyle w:val="FirstParagraph"/>
      </w:pPr>
      <w:r>
        <w:t xml:space="preserve">A common mistake is to write</w:t>
      </w:r>
      <w:r>
        <w:t xml:space="preserve"> </w:t>
      </w:r>
      <w:r>
        <w:t xml:space="preserve">“deferred to hardware”</w:t>
      </w:r>
      <w:r>
        <w:t xml:space="preserve"> </w:t>
      </w:r>
      <w:r>
        <w:t xml:space="preserve">in the second case too — since there is no concrete party to</w:t>
      </w:r>
      <w:r>
        <w:t xml:space="preserve"> </w:t>
      </w:r>
      <w:r>
        <w:t xml:space="preserve">defer to, this is an</w:t>
      </w:r>
      <w:r>
        <w:t xml:space="preserve"> </w:t>
      </w:r>
      <w:r>
        <w:rPr>
          <w:b/>
          <w:bCs/>
        </w:rPr>
        <w:t xml:space="preserve">invalid deferral</w:t>
      </w:r>
      <w:r>
        <w:t xml:space="preserve"> </w:t>
      </w:r>
      <w:r>
        <w:t xml:space="preserve">and is rejected by the evaluator.</w:t>
      </w:r>
    </w:p>
    <w:p>
      <w:pPr>
        <w:pStyle w:val="BlockText"/>
      </w:pPr>
      <w:r>
        <w:rPr>
          <w:b/>
          <w:bCs/>
        </w:rPr>
        <w:t xml:space="preserve">Common mistake: not asking whether the other party in a deferral actually exists</w:t>
      </w:r>
    </w:p>
    <w:p>
      <w:pPr>
        <w:pStyle w:val="BlockText"/>
      </w:pPr>
      <w:r>
        <w:t xml:space="preserve">A team that writes</w:t>
      </w:r>
      <w:r>
        <w:t xml:space="preserve"> </w:t>
      </w:r>
      <w:r>
        <w:t xml:space="preserve">“deferred to the operating system”</w:t>
      </w:r>
      <w:r>
        <w:t xml:space="preserve"> </w:t>
      </w:r>
      <w:r>
        <w:t xml:space="preserve">or</w:t>
      </w:r>
      <w:r>
        <w:t xml:space="preserve"> </w:t>
      </w:r>
      <w:r>
        <w:t xml:space="preserve">“deferred to hardware”</w:t>
      </w:r>
      <w:r>
        <w:t xml:space="preserve"> </w:t>
      </w:r>
      <w:r>
        <w:t xml:space="preserve">may not check whether that</w:t>
      </w:r>
      <w:r>
        <w:t xml:space="preserve"> </w:t>
      </w:r>
      <w:r>
        <w:t xml:space="preserve">version of the operating system or that hardware actually has a feature that meets this requirement. E.g.,</w:t>
      </w:r>
      <w:r>
        <w:t xml:space="preserve"> </w:t>
      </w:r>
      <w:r>
        <w:t xml:space="preserve">saying</w:t>
      </w:r>
      <w:r>
        <w:t xml:space="preserve"> </w:t>
      </w:r>
      <w:r>
        <w:t xml:space="preserve">“application isolation is deferred to the operating system”</w:t>
      </w:r>
      <w:r>
        <w:t xml:space="preserve"> </w:t>
      </w:r>
      <w:r>
        <w:t xml:space="preserve">is an empty claim if the minimum supported</w:t>
      </w:r>
      <w:r>
        <w:t xml:space="preserve"> </w:t>
      </w:r>
      <w:r>
        <w:t xml:space="preserve">operating system version does not provide this isolation.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Before deferring a requirement, verify that the other party (parent application, operating system, hardware)</w:t>
      </w:r>
      <w:r>
        <w:t xml:space="preserve"> </w:t>
      </w:r>
      <w:r>
        <w:t xml:space="preserve">can</w:t>
      </w:r>
      <w:r>
        <w:t xml:space="preserve"> </w:t>
      </w:r>
      <w:r>
        <w:rPr>
          <w:b/>
          <w:bCs/>
        </w:rPr>
        <w:t xml:space="preserve">actually</w:t>
      </w:r>
      <w:r>
        <w:t xml:space="preserve"> </w:t>
      </w:r>
      <w:r>
        <w:t xml:space="preserve">meet it — even for the minimum supported version/hardware. Deferring is not</w:t>
      </w:r>
      <w:r>
        <w:t xml:space="preserve"> </w:t>
      </w:r>
      <w:r>
        <w:t xml:space="preserve">“hoping someone</w:t>
      </w:r>
      <w:r>
        <w:t xml:space="preserve"> </w:t>
      </w:r>
      <w:r>
        <w:t xml:space="preserve">will do it”</w:t>
      </w:r>
      <w:r>
        <w:t xml:space="preserve">; it is</w:t>
      </w:r>
      <w:r>
        <w:t xml:space="preserve"> </w:t>
      </w:r>
      <w:r>
        <w:t xml:space="preserve">“knowing who will do it, with what concrete mechanism.”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An evaluator specifically looks for</w:t>
      </w:r>
      <w:r>
        <w:t xml:space="preserve"> </w:t>
      </w:r>
      <w:r>
        <w:t xml:space="preserve">“not met”</w:t>
      </w:r>
      <w:r>
        <w:t xml:space="preserve"> </w:t>
      </w:r>
      <w:r>
        <w:t xml:space="preserve">rows; these are the project’s</w:t>
      </w:r>
      <w:r>
        <w:t xml:space="preserve"> </w:t>
      </w:r>
      <w:r>
        <w:rPr>
          <w:b/>
          <w:bCs/>
        </w:rPr>
        <w:t xml:space="preserve">indicator of honesty</w:t>
      </w:r>
      <w:r>
        <w:t xml:space="preserve">. A</w:t>
      </w:r>
      <w:r>
        <w:t xml:space="preserve"> </w:t>
      </w:r>
      <w:r>
        <w:t xml:space="preserve">matrix with no</w:t>
      </w:r>
      <w:r>
        <w:t xml:space="preserve"> </w:t>
      </w:r>
      <w:r>
        <w:t xml:space="preserve">“not met”</w:t>
      </w:r>
      <w:r>
        <w:t xml:space="preserve"> </w:t>
      </w:r>
      <w:r>
        <w:t xml:space="preserve">or</w:t>
      </w:r>
      <w:r>
        <w:t xml:space="preserve"> </w:t>
      </w:r>
      <w:r>
        <w:t xml:space="preserve">“not applicable”</w:t>
      </w:r>
      <w:r>
        <w:t xml:space="preserve"> </w:t>
      </w:r>
      <w:r>
        <w:t xml:space="preserve">rows at all, where everything looks</w:t>
      </w:r>
      <w:r>
        <w:t xml:space="preserve"> </w:t>
      </w:r>
      <w:r>
        <w:t xml:space="preserve">“met,”</w:t>
      </w:r>
      <w:r>
        <w:t xml:space="preserve"> </w:t>
      </w:r>
      <w:r>
        <w:t xml:space="preserve">raises suspicion in</w:t>
      </w:r>
      <w:r>
        <w:t xml:space="preserve"> </w:t>
      </w:r>
      <w:r>
        <w:t xml:space="preserve">an experienced evaluator — real projects almost always have at least a few gaps or deferred requirements.</w:t>
      </w:r>
    </w:p>
    <w:p>
      <w:r>
        <w:pict>
          <v:rect style="width:0;height:1.5pt" o:hralign="center" o:hrstd="t" o:hr="t"/>
        </w:pict>
      </w:r>
    </w:p>
    <w:bookmarkEnd w:id="79"/>
    <w:bookmarkEnd w:id="80"/>
    <w:bookmarkStart w:id="93" w:name="common-criteria-isoiec-15408"/>
    <w:p>
      <w:pPr>
        <w:pStyle w:val="Heading2"/>
      </w:pPr>
      <w:r>
        <w:t xml:space="preserve">4. Common Criteria (ISO/IEC 15408)</w:t>
      </w:r>
    </w:p>
    <w:p>
      <w:pPr>
        <w:pStyle w:val="FirstParagraph"/>
      </w:pPr>
      <w:r>
        <w:rPr>
          <w:b/>
          <w:bCs/>
        </w:rPr>
        <w:t xml:space="preserve">Common Criteria</w:t>
      </w:r>
      <w:r>
        <w:t xml:space="preserve"> </w:t>
      </w:r>
      <w:r>
        <w:t xml:space="preserve">(CC) is the international standard for the security evaluation of IT products. The</w:t>
      </w:r>
      <w:r>
        <w:t xml:space="preserve"> </w:t>
      </w:r>
      <w:r>
        <w:t xml:space="preserve">evaluation methodology is defined in a separate document (CEM, ISO/IEC 18045). Thanks to the Common Criteria</w:t>
      </w:r>
      <w:r>
        <w:t xml:space="preserve"> </w:t>
      </w:r>
      <w:r>
        <w:t xml:space="preserve">Recognition Arrangement (CCRA), a certificate issued in one country is also recognised in the other countries</w:t>
      </w:r>
      <w:r>
        <w:t xml:space="preserve"> </w:t>
      </w:r>
      <w:r>
        <w:t xml:space="preserve">that are party to the arrangement.</w:t>
      </w:r>
    </w:p>
    <w:p>
      <w:pPr>
        <w:pStyle w:val="BodyText"/>
      </w:pPr>
      <w:r>
        <w:drawing>
          <wp:inline>
            <wp:extent cx="5759999" cy="2786354"/>
            <wp:effectExtent b="0" l="0" r="0" t="0"/>
            <wp:docPr descr="Common Criteria concepts: PP, ST, SFR, SAR, EAL" title="" id="82" name="Picture"/>
            <a:graphic>
              <a:graphicData uri="http://schemas.openxmlformats.org/drawingml/2006/picture">
                <pic:pic>
                  <pic:nvPicPr>
                    <pic:cNvPr descr="h13-07-ortak-kriterler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863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84" w:name="basic-concepts"/>
    <w:p>
      <w:pPr>
        <w:pStyle w:val="Heading3"/>
      </w:pPr>
      <w:r>
        <w:t xml:space="preserve">Basic concepts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Concept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  <w:tc>
          <w:tcPr/>
          <w:p>
            <w:pPr>
              <w:pStyle w:val="Compact"/>
            </w:pPr>
            <w:r>
              <w:t xml:space="preserve">Its counterpart in this course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TOE</w:t>
            </w:r>
            <w:r>
              <w:t xml:space="preserve"> </w:t>
            </w:r>
            <w:r>
              <w:t xml:space="preserve">(Target of Evaluation)</w:t>
            </w:r>
          </w:p>
        </w:tc>
        <w:tc>
          <w:tcPr/>
          <w:p>
            <w:pPr>
              <w:pStyle w:val="Compact"/>
            </w:pPr>
            <w:r>
              <w:t xml:space="preserve">The product being evaluated and its documents; uniquely identified</w:t>
            </w:r>
          </w:p>
        </w:tc>
        <w:tc>
          <w:tcPr/>
          <w:p>
            <w:pPr>
              <w:pStyle w:val="Compact"/>
            </w:pPr>
            <w:r>
              <w:t xml:space="preserve">The target of evaluation (Week 1, S0/S1)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</w:t>
            </w:r>
            <w:r>
              <w:t xml:space="preserve"> </w:t>
            </w:r>
            <w:r>
              <w:t xml:space="preserve">(Security Target)</w:t>
            </w:r>
          </w:p>
        </w:tc>
        <w:tc>
          <w:tcPr/>
          <w:p>
            <w:pPr>
              <w:pStyle w:val="Compact"/>
            </w:pPr>
            <w:r>
              <w:t xml:space="preserve">A product-specific security-target document: threats, assumptions, security objectives, requirements</w:t>
            </w:r>
          </w:p>
        </w:tc>
        <w:tc>
          <w:tcPr/>
          <w:p>
            <w:pPr>
              <w:pStyle w:val="Compact"/>
            </w:pPr>
            <w:r>
              <w:t xml:space="preserve">Your security guide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PP</w:t>
            </w:r>
            <w:r>
              <w:t xml:space="preserve"> </w:t>
            </w:r>
            <w:r>
              <w:t xml:space="preserve">(Protection Profile)</w:t>
            </w:r>
          </w:p>
        </w:tc>
        <w:tc>
          <w:tcPr/>
          <w:p>
            <w:pPr>
              <w:pStyle w:val="Compact"/>
            </w:pPr>
            <w:r>
              <w:t xml:space="preserve">A common requirement set for a product class (e.g., mobile device, firewall); products claim to conform to it</w:t>
            </w:r>
          </w:p>
        </w:tc>
        <w:tc>
          <w:tcPr/>
          <w:p>
            <w:pPr>
              <w:pStyle w:val="Compact"/>
            </w:pPr>
            <w:r>
              <w:t xml:space="preserve">The course’s requirement families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SFR</w:t>
            </w:r>
            <w:r>
              <w:t xml:space="preserve"> </w:t>
            </w:r>
            <w:r>
              <w:t xml:space="preserve">(Security Functional Requirement)</w:t>
            </w:r>
          </w:p>
        </w:tc>
        <w:tc>
          <w:tcPr/>
          <w:p>
            <w:pPr>
              <w:pStyle w:val="Compact"/>
            </w:pPr>
            <w:r>
              <w:t xml:space="preserve">Functional security requirements; chosen from a standard catalogue (e.g., FCS cryptographic support, FDP user data protection, FIA identification and authentication)</w:t>
            </w:r>
          </w:p>
        </w:tc>
        <w:tc>
          <w:tcPr/>
          <w:p>
            <w:pPr>
              <w:pStyle w:val="Compact"/>
            </w:pPr>
            <w:r>
              <w:t xml:space="preserve">Functional requirements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SAR</w:t>
            </w:r>
            <w:r>
              <w:t xml:space="preserve"> </w:t>
            </w:r>
            <w:r>
              <w:t xml:space="preserve">(Security Assurance Requirement)</w:t>
            </w:r>
          </w:p>
        </w:tc>
        <w:tc>
          <w:tcPr/>
          <w:p>
            <w:pPr>
              <w:pStyle w:val="Compact"/>
            </w:pPr>
            <w:r>
              <w:t xml:space="preserve">Assurance requirements (e.g., ADV development, ATE testing, AVA vulnerability assessment)</w:t>
            </w:r>
          </w:p>
        </w:tc>
        <w:tc>
          <w:tcPr/>
          <w:p>
            <w:pPr>
              <w:pStyle w:val="Compact"/>
            </w:pPr>
            <w:r>
              <w:t xml:space="preserve">Assurance requirements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EAL</w:t>
            </w:r>
            <w:r>
              <w:t xml:space="preserve"> </w:t>
            </w:r>
            <w:r>
              <w:t xml:space="preserve">(Evaluation Assurance Level)</w:t>
            </w:r>
          </w:p>
        </w:tc>
        <w:tc>
          <w:tcPr/>
          <w:p>
            <w:pPr>
              <w:pStyle w:val="Compact"/>
            </w:pPr>
            <w:r>
              <w:t xml:space="preserve">Predefined SAR packages: from EAL1 to EAL7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bookmarkEnd w:id="84"/>
    <w:bookmarkStart w:id="85" w:name="eal-levels"/>
    <w:p>
      <w:pPr>
        <w:pStyle w:val="Heading3"/>
      </w:pPr>
      <w:r>
        <w:t xml:space="preserve">EAL levels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Level</w:t>
            </w:r>
          </w:p>
        </w:tc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Typical 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EAL1</w:t>
            </w:r>
          </w:p>
        </w:tc>
        <w:tc>
          <w:tcPr/>
          <w:p>
            <w:pPr>
              <w:pStyle w:val="Compact"/>
            </w:pPr>
            <w:r>
              <w:t xml:space="preserve">Functionally tested</w:t>
            </w:r>
          </w:p>
        </w:tc>
        <w:tc>
          <w:tcPr/>
          <w:p>
            <w:pPr>
              <w:pStyle w:val="Compact"/>
            </w:pPr>
            <w:r>
              <w:t xml:space="preserve">Situations with low threat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EAL2</w:t>
            </w:r>
          </w:p>
        </w:tc>
        <w:tc>
          <w:tcPr/>
          <w:p>
            <w:pPr>
              <w:pStyle w:val="Compact"/>
            </w:pPr>
            <w:r>
              <w:t xml:space="preserve">Structurally tested</w:t>
            </w:r>
          </w:p>
        </w:tc>
        <w:tc>
          <w:tcPr/>
          <w:p>
            <w:pPr>
              <w:pStyle w:val="Compact"/>
            </w:pPr>
            <w:r>
              <w:t xml:space="preserve">Basic assurance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EAL3</w:t>
            </w:r>
          </w:p>
        </w:tc>
        <w:tc>
          <w:tcPr/>
          <w:p>
            <w:pPr>
              <w:pStyle w:val="Compact"/>
            </w:pPr>
            <w:r>
              <w:t xml:space="preserve">Methodically tested and checked</w:t>
            </w:r>
          </w:p>
        </w:tc>
        <w:tc>
          <w:tcPr/>
          <w:p>
            <w:pPr>
              <w:pStyle w:val="Compact"/>
            </w:pPr>
            <w:r>
              <w:t xml:space="preserve">Medium level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EAL4</w:t>
            </w:r>
          </w:p>
        </w:tc>
        <w:tc>
          <w:tcPr/>
          <w:p>
            <w:pPr>
              <w:pStyle w:val="Compact"/>
            </w:pPr>
            <w:r>
              <w:t xml:space="preserve">Methodically designed, tested, and reviewed</w:t>
            </w:r>
          </w:p>
        </w:tc>
        <w:tc>
          <w:tcPr/>
          <w:p>
            <w:pPr>
              <w:pStyle w:val="Compact"/>
            </w:pPr>
            <w:r>
              <w:t xml:space="preserve">The most common upper level for commercial products (operating systems, network devices)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EAL5</w:t>
            </w:r>
          </w:p>
        </w:tc>
        <w:tc>
          <w:tcPr/>
          <w:p>
            <w:pPr>
              <w:pStyle w:val="Compact"/>
            </w:pPr>
            <w:r>
              <w:t xml:space="preserve">Semi-formally designed and tested</w:t>
            </w:r>
          </w:p>
        </w:tc>
        <w:tc>
          <w:tcPr/>
          <w:p>
            <w:pPr>
              <w:pStyle w:val="Compact"/>
            </w:pPr>
            <w:r>
              <w:t xml:space="preserve">Smart cards and secure elements (often EAL5+ / EAL6+)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EAL6</w:t>
            </w:r>
          </w:p>
        </w:tc>
        <w:tc>
          <w:tcPr/>
          <w:p>
            <w:pPr>
              <w:pStyle w:val="Compact"/>
            </w:pPr>
            <w:r>
              <w:t xml:space="preserve">Semi-formally verified design</w:t>
            </w:r>
          </w:p>
        </w:tc>
        <w:tc>
          <w:tcPr/>
          <w:p>
            <w:pPr>
              <w:pStyle w:val="Compact"/>
            </w:pPr>
            <w:r>
              <w:t xml:space="preserve">High-risk environments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EAL7</w:t>
            </w:r>
          </w:p>
        </w:tc>
        <w:tc>
          <w:tcPr/>
          <w:p>
            <w:pPr>
              <w:pStyle w:val="Compact"/>
            </w:pPr>
            <w:r>
              <w:t xml:space="preserve">Formally verified design</w:t>
            </w:r>
          </w:p>
        </w:tc>
        <w:tc>
          <w:tcPr/>
          <w:p>
            <w:pPr>
              <w:pStyle w:val="Compact"/>
            </w:pPr>
            <w:r>
              <w:t xml:space="preserve">Very high-risk, small systems</w:t>
            </w:r>
          </w:p>
        </w:tc>
      </w:tr>
    </w:tbl>
    <w:p>
      <w:pPr>
        <w:pStyle w:val="BodyText"/>
      </w:pPr>
      <w:r>
        <w:t xml:space="preserve">A higher EAL does not mean the product is</w:t>
      </w:r>
      <w:r>
        <w:t xml:space="preserve"> </w:t>
      </w:r>
      <w:r>
        <w:t xml:space="preserve">“more secure”</w:t>
      </w:r>
      <w:r>
        <w:t xml:space="preserve">; it means the evaluation was carried out</w:t>
      </w:r>
      <w:r>
        <w:t xml:space="preserve"> </w:t>
      </w:r>
      <w:r>
        <w:rPr>
          <w:b/>
          <w:bCs/>
        </w:rPr>
        <w:t xml:space="preserve">more deeply</w:t>
      </w:r>
      <w:r>
        <w:t xml:space="preserve">.</w:t>
      </w:r>
      <w:r>
        <w:t xml:space="preserve"> </w:t>
      </w:r>
      <w:r>
        <w:t xml:space="preserve">An EAL4 product can be less secure than an EAL2 product; what matters is the scope of the security objectives and</w:t>
      </w:r>
      <w:r>
        <w:t xml:space="preserve"> </w:t>
      </w:r>
      <w:r>
        <w:t xml:space="preserve">threats in the ST. The</w:t>
      </w:r>
      <w:r>
        <w:t xml:space="preserve"> </w:t>
      </w:r>
      <w:r>
        <w:t xml:space="preserve">“+”</w:t>
      </w:r>
      <w:r>
        <w:t xml:space="preserve"> </w:t>
      </w:r>
      <w:r>
        <w:t xml:space="preserve">mark (EAL4+) shows that additional assurance components were added to the package; the</w:t>
      </w:r>
      <w:r>
        <w:t xml:space="preserve"> </w:t>
      </w:r>
      <w:r>
        <w:t xml:space="preserve">most commonly added one increases the depth of the vulnerability assessment.</w:t>
      </w:r>
    </w:p>
    <w:bookmarkEnd w:id="85"/>
    <w:bookmarkStart w:id="86" w:name="X27f3ec28b93cc869a5036c749aa3dc921620b79"/>
    <w:p>
      <w:pPr>
        <w:pStyle w:val="Heading3"/>
      </w:pPr>
      <w:r>
        <w:t xml:space="preserve">Vulnerability assessment and attack potential</w:t>
      </w:r>
    </w:p>
    <w:p>
      <w:pPr>
        <w:pStyle w:val="FirstParagraph"/>
      </w:pPr>
      <w:r>
        <w:t xml:space="preserve">CC’s vulnerability-assessment component (AVA_VAN) determines what</w:t>
      </w:r>
      <w:r>
        <w:t xml:space="preserve"> </w:t>
      </w:r>
      <w:r>
        <w:rPr>
          <w:b/>
          <w:bCs/>
        </w:rPr>
        <w:t xml:space="preserve">attack potential</w:t>
      </w:r>
      <w:r>
        <w:t xml:space="preserve"> </w:t>
      </w:r>
      <w:r>
        <w:t xml:space="preserve">the product must</w:t>
      </w:r>
      <w:r>
        <w:t xml:space="preserve"> </w:t>
      </w:r>
      <w:r>
        <w:t xml:space="preserve">withstand from an attacker: Basic, Enhanced-Basic, Moderate, and High. Attack potential is scored in the CEM with</w:t>
      </w:r>
      <w:r>
        <w:t xml:space="preserve"> </w:t>
      </w:r>
      <w:r>
        <w:t xml:space="preserve">five factors:</w:t>
      </w:r>
      <w:r>
        <w:t xml:space="preserve"> </w:t>
      </w:r>
      <w:r>
        <w:rPr>
          <w:b/>
          <w:bCs/>
        </w:rPr>
        <w:t xml:space="preserve">elapsed time</w:t>
      </w:r>
      <w:r>
        <w:t xml:space="preserve">,</w:t>
      </w:r>
      <w:r>
        <w:t xml:space="preserve"> </w:t>
      </w:r>
      <w:r>
        <w:rPr>
          <w:b/>
          <w:bCs/>
        </w:rPr>
        <w:t xml:space="preserve">expertise</w:t>
      </w:r>
      <w:r>
        <w:t xml:space="preserve">,</w:t>
      </w:r>
      <w:r>
        <w:t xml:space="preserve"> </w:t>
      </w:r>
      <w:r>
        <w:rPr>
          <w:b/>
          <w:bCs/>
        </w:rPr>
        <w:t xml:space="preserve">knowledge of the product</w:t>
      </w:r>
      <w:r>
        <w:t xml:space="preserve">,</w:t>
      </w:r>
      <w:r>
        <w:t xml:space="preserve"> </w:t>
      </w:r>
      <w:r>
        <w:rPr>
          <w:b/>
          <w:bCs/>
        </w:rPr>
        <w:t xml:space="preserve">window of opportunity</w:t>
      </w:r>
      <w:r>
        <w:t xml:space="preserve">, and</w:t>
      </w:r>
      <w:r>
        <w:t xml:space="preserve"> </w:t>
      </w:r>
      <w:r>
        <w:rPr>
          <w:b/>
          <w:bCs/>
        </w:rPr>
        <w:t xml:space="preserve">equipment</w:t>
      </w:r>
      <w:r>
        <w:t xml:space="preserve">. The sum of the scores shows which potential level a successful attack requires; the product must</w:t>
      </w:r>
      <w:r>
        <w:t xml:space="preserve"> </w:t>
      </w:r>
      <w:r>
        <w:t xml:space="preserve">withstand attackers below the level it claims in the ST. Adapted versions of the same idea are used in the</w:t>
      </w:r>
      <w:r>
        <w:t xml:space="preserve"> </w:t>
      </w:r>
      <w:r>
        <w:t xml:space="preserve">evaluation of payment products as well.</w:t>
      </w:r>
    </w:p>
    <w:bookmarkEnd w:id="86"/>
    <w:bookmarkStart w:id="87" w:name="X85cf1069e6693e0f8f2334b073000c6cb78b9b4"/>
    <w:p>
      <w:pPr>
        <w:pStyle w:val="Heading3"/>
      </w:pPr>
      <w:r>
        <w:t xml:space="preserve">Worked example: filling in an ST skeleton for your project</w:t>
      </w:r>
    </w:p>
    <w:p>
      <w:pPr>
        <w:pStyle w:val="FirstParagraph"/>
      </w:pPr>
      <w:r>
        <w:t xml:space="preserve">Writing a security target (ST) from scratch can look intimidating; it is actually a</w:t>
      </w:r>
      <w:r>
        <w:t xml:space="preserve"> </w:t>
      </w:r>
      <w:r>
        <w:rPr>
          <w:b/>
          <w:bCs/>
        </w:rPr>
        <w:t xml:space="preserve">reorganization</w:t>
      </w:r>
      <w:r>
        <w:t xml:space="preserve"> </w:t>
      </w:r>
      <w:r>
        <w:t xml:space="preserve">of the</w:t>
      </w:r>
      <w:r>
        <w:t xml:space="preserve"> </w:t>
      </w:r>
      <w:r>
        <w:t xml:space="preserve">documents you’ve gathered throughout the term. Below, we fill one in for a sample mobile-payment component in</w:t>
      </w:r>
      <w:r>
        <w:t xml:space="preserve"> </w:t>
      </w:r>
      <w:r>
        <w:t xml:space="preserve">three steps.</w:t>
      </w:r>
    </w:p>
    <w:p>
      <w:pPr>
        <w:pStyle w:val="BodyText"/>
      </w:pPr>
      <w:r>
        <w:rPr>
          <w:b/>
          <w:bCs/>
        </w:rPr>
        <w:t xml:space="preserve">Step 1 — Define the TOE (what we are evaluating, what we are not).</w:t>
      </w:r>
    </w:p>
    <w:p>
      <w:pPr>
        <w:pStyle w:val="BlockText"/>
      </w:pPr>
      <w:r>
        <w:t xml:space="preserve">TOE: the</w:t>
      </w:r>
      <w:r>
        <w:t xml:space="preserve"> </w:t>
      </w:r>
      <w:r>
        <w:t xml:space="preserve">“CEN429-Pay”</w:t>
      </w:r>
      <w:r>
        <w:t xml:space="preserve"> </w:t>
      </w:r>
      <w:r>
        <w:t xml:space="preserve">library, version 1.0, Android ARM64 build only.</w:t>
      </w:r>
      <w:r>
        <w:t xml:space="preserve"> </w:t>
      </w:r>
      <w:r>
        <w:rPr>
          <w:b/>
          <w:bCs/>
        </w:rPr>
        <w:t xml:space="preserve">Out of scope:</w:t>
      </w:r>
      <w:r>
        <w:t xml:space="preserve"> </w:t>
      </w:r>
      <w:r>
        <w:t xml:space="preserve">the parent</w:t>
      </w:r>
      <w:r>
        <w:t xml:space="preserve"> </w:t>
      </w:r>
      <w:r>
        <w:t xml:space="preserve">application’s user interface, server-side components, the operating system kernel.</w:t>
      </w:r>
    </w:p>
    <w:p>
      <w:pPr>
        <w:pStyle w:val="FirstParagraph"/>
      </w:pPr>
      <w:r>
        <w:t xml:space="preserve">When defining the TOE, writing what’s</w:t>
      </w:r>
      <w:r>
        <w:t xml:space="preserve"> </w:t>
      </w:r>
      <w:r>
        <w:rPr>
          <w:b/>
          <w:bCs/>
        </w:rPr>
        <w:t xml:space="preserve">out of scope</w:t>
      </w:r>
      <w:r>
        <w:t xml:space="preserve"> </w:t>
      </w:r>
      <w:r>
        <w:t xml:space="preserve">is just as important as writing what’s in scope — it</w:t>
      </w:r>
      <w:r>
        <w:t xml:space="preserve"> </w:t>
      </w:r>
      <w:r>
        <w:t xml:space="preserve">connects directly to the</w:t>
      </w:r>
      <w:r>
        <w:t xml:space="preserve"> </w:t>
      </w:r>
      <w:r>
        <w:t xml:space="preserve">“deferred requirements”</w:t>
      </w:r>
      <w:r>
        <w:t xml:space="preserve"> </w:t>
      </w:r>
      <w:r>
        <w:t xml:space="preserve">idea from Section 3: everything left out of scope reappears in</w:t>
      </w:r>
      <w:r>
        <w:t xml:space="preserve"> </w:t>
      </w:r>
      <w:r>
        <w:t xml:space="preserve">the ST as an</w:t>
      </w:r>
      <w:r>
        <w:t xml:space="preserve"> </w:t>
      </w:r>
      <w:r>
        <w:t xml:space="preserve">“assumption.”</w:t>
      </w:r>
    </w:p>
    <w:p>
      <w:pPr>
        <w:pStyle w:val="BodyText"/>
      </w:pPr>
      <w:r>
        <w:rPr>
          <w:b/>
          <w:bCs/>
        </w:rPr>
        <w:t xml:space="preserve">Step 2 — List the threats and assumptions (from Week 1’s threat model).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Threat/Assumption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T.EAVESDROP</w:t>
            </w:r>
          </w:p>
        </w:tc>
        <w:tc>
          <w:tcPr/>
          <w:p>
            <w:pPr>
              <w:pStyle w:val="Compact"/>
            </w:pPr>
            <w:r>
              <w:t xml:space="preserve">An attacker positioned on the network eavesdrops on traffic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T.TAMPER</w:t>
            </w:r>
          </w:p>
        </w:tc>
        <w:tc>
          <w:tcPr/>
          <w:p>
            <w:pPr>
              <w:pStyle w:val="Compact"/>
            </w:pPr>
            <w:r>
              <w:t xml:space="preserve">An attacker with physical access to the device modifies the application’s memory/files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A.PLATFORM</w:t>
            </w:r>
          </w:p>
        </w:tc>
        <w:tc>
          <w:tcPr/>
          <w:p>
            <w:pPr>
              <w:pStyle w:val="Compact"/>
            </w:pPr>
            <w:r>
              <w:t xml:space="preserve">The operating system correctly enforces application isolation (assumption, not proven)</w:t>
            </w:r>
          </w:p>
        </w:tc>
      </w:tr>
    </w:tbl>
    <w:p>
      <w:pPr>
        <w:pStyle w:val="BodyText"/>
      </w:pPr>
      <w:r>
        <w:rPr>
          <w:b/>
          <w:bCs/>
        </w:rPr>
        <w:t xml:space="preserve">Step 3 — Map the security objectives to the corresponding SFR families.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Threat</w:t>
            </w:r>
          </w:p>
        </w:tc>
        <w:tc>
          <w:tcPr/>
          <w:p>
            <w:pPr>
              <w:pStyle w:val="Compact"/>
            </w:pPr>
            <w:r>
              <w:t xml:space="preserve">Security objective</w:t>
            </w:r>
          </w:p>
        </w:tc>
        <w:tc>
          <w:tcPr/>
          <w:p>
            <w:pPr>
              <w:pStyle w:val="Compact"/>
            </w:pPr>
            <w:r>
              <w:t xml:space="preserve">SFR family</w:t>
            </w:r>
          </w:p>
        </w:tc>
        <w:tc>
          <w:tcPr/>
          <w:p>
            <w:pPr>
              <w:pStyle w:val="Compact"/>
            </w:pPr>
            <w:r>
              <w:t xml:space="preserve">Course requirement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T.EAVESDROP</w:t>
            </w:r>
          </w:p>
        </w:tc>
        <w:tc>
          <w:tcPr/>
          <w:p>
            <w:pPr>
              <w:pStyle w:val="Compact"/>
            </w:pPr>
            <w:r>
              <w:t xml:space="preserve">Data in transit must stay confidential and intact</w:t>
            </w:r>
          </w:p>
        </w:tc>
        <w:tc>
          <w:tcPr/>
          <w:p>
            <w:pPr>
              <w:pStyle w:val="Compact"/>
            </w:pPr>
            <w:r>
              <w:t xml:space="preserve">FCS (cryptographic support), FTP (trusted path/channel)</w:t>
            </w:r>
          </w:p>
        </w:tc>
        <w:tc>
          <w:tcPr/>
          <w:p>
            <w:pPr>
              <w:pStyle w:val="Compact"/>
            </w:pPr>
            <w:r>
              <w:t xml:space="preserve">CEN429-DT-01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T.TAMPER</w:t>
            </w:r>
          </w:p>
        </w:tc>
        <w:tc>
          <w:tcPr/>
          <w:p>
            <w:pPr>
              <w:pStyle w:val="Compact"/>
            </w:pPr>
            <w:r>
              <w:t xml:space="preserve">The application must check its own integrity</w:t>
            </w:r>
          </w:p>
        </w:tc>
        <w:tc>
          <w:tcPr/>
          <w:p>
            <w:pPr>
              <w:pStyle w:val="Compact"/>
            </w:pPr>
            <w:r>
              <w:t xml:space="preserve">FPT (protection of the TSF)</w:t>
            </w:r>
          </w:p>
        </w:tc>
        <w:tc>
          <w:tcPr/>
          <w:p>
            <w:pPr>
              <w:pStyle w:val="Compact"/>
            </w:pPr>
            <w:r>
              <w:t xml:space="preserve">CEN429-AP-04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The user’s/server’s identity must be verified</w:t>
            </w:r>
          </w:p>
        </w:tc>
        <w:tc>
          <w:tcPr/>
          <w:p>
            <w:pPr>
              <w:pStyle w:val="Compact"/>
            </w:pPr>
            <w:r>
              <w:t xml:space="preserve">FIA (identification and authentication)</w:t>
            </w:r>
          </w:p>
        </w:tc>
        <w:tc>
          <w:tcPr/>
          <w:p>
            <w:pPr>
              <w:pStyle w:val="Compact"/>
            </w:pPr>
            <w:r>
              <w:t xml:space="preserve">CEN429-ID-02</w:t>
            </w:r>
          </w:p>
        </w:tc>
      </w:tr>
    </w:tbl>
    <w:p>
      <w:pPr>
        <w:pStyle w:val="BodyText"/>
      </w:pPr>
      <w:r>
        <w:t xml:space="preserve">This table is the</w:t>
      </w:r>
      <w:r>
        <w:t xml:space="preserve"> </w:t>
      </w:r>
      <w:r>
        <w:rPr>
          <w:b/>
          <w:bCs/>
        </w:rPr>
        <w:t xml:space="preserve">heart</w:t>
      </w:r>
      <w:r>
        <w:t xml:space="preserve"> </w:t>
      </w:r>
      <w:r>
        <w:t xml:space="preserve">of the ST: every row is a bridge between</w:t>
      </w:r>
      <w:r>
        <w:t xml:space="preserve"> </w:t>
      </w:r>
      <w:r>
        <w:t xml:space="preserve">“why this requirement exists”</w:t>
      </w:r>
      <w:r>
        <w:t xml:space="preserve"> </w:t>
      </w:r>
      <w:r>
        <w:t xml:space="preserve">(threat) and</w:t>
      </w:r>
      <w:r>
        <w:t xml:space="preserve"> </w:t>
      </w:r>
      <w:r>
        <w:t xml:space="preserve">“what evidence is requested”</w:t>
      </w:r>
      <w:r>
        <w:t xml:space="preserve"> </w:t>
      </w:r>
      <w:r>
        <w:t xml:space="preserve">(the SFR family, later tested against a SAR). Choosing the target EAL is the last</w:t>
      </w:r>
      <w:r>
        <w:t xml:space="preserve"> </w:t>
      </w:r>
      <w:r>
        <w:t xml:space="preserve">step: for this project the team can choose, as a</w:t>
      </w:r>
      <w:r>
        <w:t xml:space="preserve"> </w:t>
      </w:r>
      <w:r>
        <w:rPr>
          <w:b/>
          <w:bCs/>
        </w:rPr>
        <w:t xml:space="preserve">target</w:t>
      </w:r>
      <w:r>
        <w:t xml:space="preserve">, an assurance depth resembling EAL4,</w:t>
      </w:r>
      <w:r>
        <w:t xml:space="preserve"> </w:t>
      </w:r>
      <w:r>
        <w:t xml:space="preserve">“the most common</w:t>
      </w:r>
      <w:r>
        <w:t xml:space="preserve"> </w:t>
      </w:r>
      <w:r>
        <w:t xml:space="preserve">upper level for commercial products”</w:t>
      </w:r>
      <w:r>
        <w:t xml:space="preserve"> </w:t>
      </w:r>
      <w:r>
        <w:t xml:space="preserve">(without actually undergoing a real CC evaluation, just to build their own</w:t>
      </w:r>
      <w:r>
        <w:t xml:space="preserve"> </w:t>
      </w:r>
      <w:r>
        <w:t xml:space="preserve">internal discipline to that level).</w:t>
      </w:r>
    </w:p>
    <w:p>
      <w:pPr>
        <w:pStyle w:val="BlockText"/>
      </w:pPr>
      <w:r>
        <w:rPr>
          <w:b/>
          <w:bCs/>
        </w:rPr>
        <w:t xml:space="preserve">Common mistake: leaving the TOE boundary vague</w:t>
      </w:r>
    </w:p>
    <w:p>
      <w:pPr>
        <w:pStyle w:val="BlockText"/>
      </w:pPr>
      <w:r>
        <w:t xml:space="preserve">A definition like</w:t>
      </w:r>
      <w:r>
        <w:t xml:space="preserve"> </w:t>
      </w:r>
      <w:r>
        <w:t xml:space="preserve">“TOE = our application”</w:t>
      </w:r>
      <w:r>
        <w:t xml:space="preserve"> </w:t>
      </w:r>
      <w:r>
        <w:t xml:space="preserve">leaves open the evaluator’s question</w:t>
      </w:r>
      <w:r>
        <w:t xml:space="preserve"> </w:t>
      </w:r>
      <w:r>
        <w:t xml:space="preserve">“what does your application</w:t>
      </w:r>
      <w:r>
        <w:t xml:space="preserve"> </w:t>
      </w:r>
      <w:r>
        <w:t xml:space="preserve">include, is the server included, are third-party libraries included?”</w:t>
      </w:r>
      <w:r>
        <w:t xml:space="preserve"> </w:t>
      </w:r>
      <w:r>
        <w:t xml:space="preserve">If the boundary is vague, two teams can</w:t>
      </w:r>
      <w:r>
        <w:t xml:space="preserve"> </w:t>
      </w:r>
      <w:r>
        <w:t xml:space="preserve">read the same ST and understand different scopes; this blocks the evaluation process from the very start.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A TOE definition always lists</w:t>
      </w:r>
      <w:r>
        <w:t xml:space="preserve"> </w:t>
      </w:r>
      <w:r>
        <w:rPr>
          <w:b/>
          <w:bCs/>
        </w:rPr>
        <w:t xml:space="preserve">both what it includes and what it explicitly excludes</w:t>
      </w:r>
      <w:r>
        <w:t xml:space="preserve">; ideally it is backed</w:t>
      </w:r>
      <w:r>
        <w:t xml:space="preserve"> </w:t>
      </w:r>
      <w:r>
        <w:t xml:space="preserve">by a boundary diagram (which components this product covers, and through which interfaces it talks to the</w:t>
      </w:r>
      <w:r>
        <w:t xml:space="preserve"> </w:t>
      </w:r>
      <w:r>
        <w:t xml:space="preserve">outside).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The evaluator first checks that every threat in the ST links to at least one security objective, and that</w:t>
      </w:r>
      <w:r>
        <w:t xml:space="preserve"> </w:t>
      </w:r>
      <w:r>
        <w:t xml:space="preserve">every objective links to at least one SFR (they want a mapping like the table above). A threat with no link,</w:t>
      </w:r>
      <w:r>
        <w:t xml:space="preserve"> </w:t>
      </w:r>
      <w:r>
        <w:t xml:space="preserve">or an SFR with no counterpart, is the first question asked.</w:t>
      </w:r>
    </w:p>
    <w:bookmarkEnd w:id="87"/>
    <w:bookmarkStart w:id="88" w:name="X8cefa9b8926b2849f8c97f9992d9ca544869418"/>
    <w:p>
      <w:pPr>
        <w:pStyle w:val="Heading3"/>
      </w:pPr>
      <w:r>
        <w:t xml:space="preserve">The origin of CC: why do several countries use the same standard?</w:t>
      </w:r>
    </w:p>
    <w:p>
      <w:pPr>
        <w:pStyle w:val="FirstParagraph"/>
      </w:pPr>
      <w:r>
        <w:t xml:space="preserve">Before Common Criteria, the US, Europe, and Canada each had their own separate evaluation criteria (the Orange</w:t>
      </w:r>
      <w:r>
        <w:t xml:space="preserve"> </w:t>
      </w:r>
      <w:r>
        <w:t xml:space="preserve">Book/TCSEC in the US, ITSEC in Europe, CTCPEC in Canada). Because each country certified against its own</w:t>
      </w:r>
      <w:r>
        <w:t xml:space="preserve"> </w:t>
      </w:r>
      <w:r>
        <w:t xml:space="preserve">criteria, a product certified in one country had to be</w:t>
      </w:r>
      <w:r>
        <w:t xml:space="preserve"> </w:t>
      </w:r>
      <w:r>
        <w:rPr>
          <w:b/>
          <w:bCs/>
        </w:rPr>
        <w:t xml:space="preserve">re-evaluated</w:t>
      </w:r>
      <w:r>
        <w:t xml:space="preserve"> </w:t>
      </w:r>
      <w:r>
        <w:t xml:space="preserve">in another. Common Criteria merged these</w:t>
      </w:r>
      <w:r>
        <w:t xml:space="preserve"> </w:t>
      </w:r>
      <w:r>
        <w:t xml:space="preserve">three approaches into a single international standard (ISO/IEC 15408); thanks to the CCRA (Common Criteria</w:t>
      </w:r>
      <w:r>
        <w:t xml:space="preserve"> </w:t>
      </w:r>
      <w:r>
        <w:t xml:space="preserve">Recognition Arrangement), a certificate from one country is recognised in the other party countries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w:r>
        <w:t xml:space="preserve">needing re-evaluation. This is much like different countries switching from different electrical-outlet</w:t>
      </w:r>
      <w:r>
        <w:t xml:space="preserve"> </w:t>
      </w:r>
      <w:r>
        <w:t xml:space="preserve">standards to a single common one: the cost of compliance drops, and comparison becomes easier.</w:t>
      </w:r>
    </w:p>
    <w:bookmarkEnd w:id="88"/>
    <w:bookmarkStart w:id="89" w:name="X4be9b3d4c236fdf08e7435aca3bb084be804575"/>
    <w:p>
      <w:pPr>
        <w:pStyle w:val="Heading3"/>
      </w:pPr>
      <w:r>
        <w:t xml:space="preserve">Why SFRs are not invented, but chosen from a catalogue</w:t>
      </w:r>
    </w:p>
    <w:p>
      <w:pPr>
        <w:pStyle w:val="FirstParagraph"/>
      </w:pPr>
      <w:r>
        <w:t xml:space="preserve">The relevant part of Common Criteria has a predefined SFR catalogue (families such as FCS, FDP, FIA, FAU, FMT,</w:t>
      </w:r>
      <w:r>
        <w:t xml:space="preserve"> </w:t>
      </w:r>
      <w:r>
        <w:t xml:space="preserve">FPT, FTP, and their subcomponents). When writing an ST, you</w:t>
      </w:r>
      <w:r>
        <w:t xml:space="preserve"> </w:t>
      </w:r>
      <w:r>
        <w:rPr>
          <w:b/>
          <w:bCs/>
        </w:rPr>
        <w:t xml:space="preserve">choose from this catalogue</w:t>
      </w:r>
      <w:r>
        <w:t xml:space="preserve"> </w:t>
      </w:r>
      <w:r>
        <w:t xml:space="preserve">instead of inventing a</w:t>
      </w:r>
      <w:r>
        <w:t xml:space="preserve"> </w:t>
      </w:r>
      <w:r>
        <w:t xml:space="preserve">new SFR; if a need has no exact counterpart in the catalogue, it is separately defined and justified as an</w:t>
      </w:r>
      <w:r>
        <w:t xml:space="preserve"> </w:t>
      </w:r>
      <w:r>
        <w:t xml:space="preserve">“extended component.”</w:t>
      </w:r>
      <w:r>
        <w:t xml:space="preserve"> </w:t>
      </w:r>
      <w:r>
        <w:t xml:space="preserve">The reason for this is</w:t>
      </w:r>
      <w:r>
        <w:t xml:space="preserve"> </w:t>
      </w:r>
      <w:r>
        <w:rPr>
          <w:b/>
          <w:bCs/>
        </w:rPr>
        <w:t xml:space="preserve">consistency</w:t>
      </w:r>
      <w:r>
        <w:t xml:space="preserve">: if two different products’ STs use the same</w:t>
      </w:r>
      <w:r>
        <w:t xml:space="preserve"> </w:t>
      </w:r>
      <w:r>
        <w:t xml:space="preserve">catalogue, an evaluator can compare them; if every product invented its own terminology, comparison would be</w:t>
      </w:r>
      <w:r>
        <w:t xml:space="preserve"> </w:t>
      </w:r>
      <w:r>
        <w:t xml:space="preserve">impossible.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If they see an SFR in an ST that doesn’t belong to the catalogue — an</w:t>
      </w:r>
      <w:r>
        <w:t xml:space="preserve"> </w:t>
      </w:r>
      <w:r>
        <w:t xml:space="preserve">“invented,”</w:t>
      </w:r>
      <w:r>
        <w:t xml:space="preserve"> </w:t>
      </w:r>
      <w:r>
        <w:t xml:space="preserve">non-standard code that</w:t>
      </w:r>
      <w:r>
        <w:t xml:space="preserve"> </w:t>
      </w:r>
      <w:r>
        <w:t xml:space="preserve">doesn’t fit the catalogue — the evaluator checks whether it was properly defined as an extended component</w:t>
      </w:r>
      <w:r>
        <w:t xml:space="preserve"> </w:t>
      </w:r>
      <w:r>
        <w:t xml:space="preserve">(dependencies, rationale, evaluation method); an improperly</w:t>
      </w:r>
      <w:r>
        <w:t xml:space="preserve"> </w:t>
      </w:r>
      <w:r>
        <w:t xml:space="preserve">“invented”</w:t>
      </w:r>
      <w:r>
        <w:t xml:space="preserve"> </w:t>
      </w:r>
      <w:r>
        <w:t xml:space="preserve">component can invalidate the ST.</w:t>
      </w:r>
    </w:p>
    <w:bookmarkEnd w:id="89"/>
    <w:bookmarkStart w:id="90" w:name="X548793cfe758e3afb356a639cb688cdc12693eb"/>
    <w:p>
      <w:pPr>
        <w:pStyle w:val="Heading3"/>
      </w:pPr>
      <w:r>
        <w:t xml:space="preserve">Choosing an EAL: a practical decision guide</w:t>
      </w:r>
    </w:p>
    <w:p>
      <w:pPr>
        <w:pStyle w:val="FirstParagraph"/>
      </w:pPr>
      <w:r>
        <w:t xml:space="preserve">Students often ask</w:t>
      </w:r>
      <w:r>
        <w:t xml:space="preserve"> </w:t>
      </w:r>
      <w:r>
        <w:t xml:space="preserve">“which EAL should we write for our project?”</w:t>
      </w:r>
      <w:r>
        <w:t xml:space="preserve"> </w:t>
      </w:r>
      <w:r>
        <w:t xml:space="preserve">Even if you’re not going to undergo an actual CC</w:t>
      </w:r>
      <w:r>
        <w:t xml:space="preserve"> </w:t>
      </w:r>
      <w:r>
        <w:t xml:space="preserve">certification (and you won’t, for the term project), it’s useful to use the EAL concept as an</w:t>
      </w:r>
      <w:r>
        <w:t xml:space="preserve"> </w:t>
      </w:r>
      <w:r>
        <w:rPr>
          <w:b/>
          <w:bCs/>
        </w:rPr>
        <w:t xml:space="preserve">internal</w:t>
      </w:r>
      <w:r>
        <w:rPr>
          <w:b/>
          <w:bCs/>
        </w:rPr>
        <w:t xml:space="preserve"> </w:t>
      </w:r>
      <w:r>
        <w:rPr>
          <w:b/>
          <w:bCs/>
        </w:rPr>
        <w:t xml:space="preserve">discipline target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Your project’s situation</w:t>
            </w:r>
          </w:p>
        </w:tc>
        <w:tc>
          <w:tcPr/>
          <w:p>
            <w:pPr>
              <w:pStyle w:val="Compact"/>
            </w:pPr>
            <w:r>
              <w:t xml:space="preserve">Suitable target</w:t>
            </w:r>
          </w:p>
        </w:tc>
        <w:tc>
          <w:tcPr/>
          <w:p>
            <w:pPr>
              <w:pStyle w:val="Compact"/>
            </w:pPr>
            <w:r>
              <w:t xml:space="preserve">Why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Small, single-developer, course project</w:t>
            </w:r>
          </w:p>
        </w:tc>
        <w:tc>
          <w:tcPr/>
          <w:p>
            <w:pPr>
              <w:pStyle w:val="Compact"/>
            </w:pPr>
            <w:r>
              <w:t xml:space="preserve">EAL1–EAL2-like discipline (functional test + structural test)</w:t>
            </w:r>
          </w:p>
        </w:tc>
        <w:tc>
          <w:tcPr/>
          <w:p>
            <w:pPr>
              <w:pStyle w:val="Compact"/>
            </w:pPr>
            <w:r>
              <w:t xml:space="preserve">No comprehensive documentation infrastructure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Team project, has code review and CI</w:t>
            </w:r>
          </w:p>
        </w:tc>
        <w:tc>
          <w:tcPr/>
          <w:p>
            <w:pPr>
              <w:pStyle w:val="Compact"/>
            </w:pPr>
            <w:r>
              <w:t xml:space="preserve">EAL3–EAL4-like discipline (methodical design, testing, review)</w:t>
            </w:r>
          </w:p>
        </w:tc>
        <w:tc>
          <w:tcPr/>
          <w:p>
            <w:pPr>
              <w:pStyle w:val="Compact"/>
            </w:pPr>
            <w:r>
              <w:t xml:space="preserve">The processes you built throughout this course (Week 6 CI, Week 12 review) correspond exactly to this level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high-risk component such as payment/authentication</w:t>
            </w:r>
          </w:p>
        </w:tc>
        <w:tc>
          <w:tcPr/>
          <w:p>
            <w:pPr>
              <w:pStyle w:val="Compact"/>
            </w:pPr>
            <w:r>
              <w:t xml:space="preserve">EAL5+-like discipline (semi-formal design)</w:t>
            </w:r>
          </w:p>
        </w:tc>
        <w:tc>
          <w:tcPr/>
          <w:p>
            <w:pPr>
              <w:pStyle w:val="Compact"/>
            </w:pPr>
            <w:r>
              <w:t xml:space="preserve">In field examples, smart-card and secure-element products are evaluated at this level</w:t>
            </w:r>
          </w:p>
        </w:tc>
      </w:tr>
    </w:tbl>
    <w:p>
      <w:pPr>
        <w:pStyle w:val="BodyText"/>
      </w:pPr>
      <w:r>
        <w:t xml:space="preserve">This table does not promise a CC certificate; it only offers a rough comparison for the question</w:t>
      </w:r>
      <w:r>
        <w:t xml:space="preserve"> </w:t>
      </w:r>
      <w:r>
        <w:t xml:space="preserve">“how rigorous a</w:t>
      </w:r>
      <w:r>
        <w:t xml:space="preserve"> </w:t>
      </w:r>
      <w:r>
        <w:t xml:space="preserve">documentation and testing process do we need.”</w:t>
      </w:r>
    </w:p>
    <w:bookmarkEnd w:id="90"/>
    <w:bookmarkStart w:id="91" w:name="reusing-a-pp-for-an-st"/>
    <w:p>
      <w:pPr>
        <w:pStyle w:val="Heading3"/>
      </w:pPr>
      <w:r>
        <w:t xml:space="preserve">Reusing a PP for an ST</w:t>
      </w:r>
    </w:p>
    <w:p>
      <w:pPr>
        <w:pStyle w:val="FirstParagraph"/>
      </w:pPr>
      <w:r>
        <w:t xml:space="preserve">If a PP already exists for a product class (e.g., the</w:t>
      </w:r>
      <w:r>
        <w:t xml:space="preserve"> </w:t>
      </w:r>
      <w:r>
        <w:t xml:space="preserve">“mobile device”</w:t>
      </w:r>
      <w:r>
        <w:t xml:space="preserve"> </w:t>
      </w:r>
      <w:r>
        <w:t xml:space="preserve">or</w:t>
      </w:r>
      <w:r>
        <w:t xml:space="preserve"> </w:t>
      </w:r>
      <w:r>
        <w:t xml:space="preserve">“firewall”</w:t>
      </w:r>
      <w:r>
        <w:t xml:space="preserve"> </w:t>
      </w:r>
      <w:r>
        <w:t xml:space="preserve">PPs), a team developing a new</w:t>
      </w:r>
      <w:r>
        <w:t xml:space="preserve"> </w:t>
      </w:r>
      <w:r>
        <w:t xml:space="preserve">product does not write its ST from scratch; it takes the PP’s requirements, adapts them to its own TOE, and says</w:t>
      </w:r>
      <w:r>
        <w:t xml:space="preserve"> </w:t>
      </w:r>
      <w:r>
        <w:t xml:space="preserve">“we claim conformance to this PP.”</w:t>
      </w:r>
      <w:r>
        <w:t xml:space="preserve"> </w:t>
      </w:r>
      <w:r>
        <w:t xml:space="preserve">This is the same logic as the course’s requirement families in Section 8: a PP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template</w:t>
      </w:r>
      <w:r>
        <w:t xml:space="preserve">, an ST is that template</w:t>
      </w:r>
      <w:r>
        <w:t xml:space="preserve"> </w:t>
      </w:r>
      <w:r>
        <w:rPr>
          <w:b/>
          <w:bCs/>
        </w:rPr>
        <w:t xml:space="preserve">applied to a specific product</w:t>
      </w:r>
      <w:r>
        <w:t xml:space="preserve">. For your own project, the course’s</w:t>
      </w:r>
      <w:r>
        <w:t xml:space="preserve"> </w:t>
      </w:r>
      <w:r>
        <w:t xml:space="preserve">requirement families can be thought of as an informal</w:t>
      </w:r>
      <w:r>
        <w:t xml:space="preserve"> </w:t>
      </w:r>
      <w:r>
        <w:t xml:space="preserve">“mini PP.”</w:t>
      </w:r>
    </w:p>
    <w:bookmarkEnd w:id="91"/>
    <w:bookmarkStart w:id="92" w:name="Xf1328031ef431e70ebe3b309eec115563217b16"/>
    <w:p>
      <w:pPr>
        <w:pStyle w:val="Heading3"/>
      </w:pPr>
      <w:r>
        <w:t xml:space="preserve">Comparing the CC process with Week 12’s assessment process</w:t>
      </w:r>
    </w:p>
    <w:p>
      <w:pPr>
        <w:pStyle w:val="FirstParagraph"/>
      </w:pPr>
      <w:r>
        <w:t xml:space="preserve">The independent-assessment steps you saw last week (Week 12) — document review, code review, repeating tests,</w:t>
      </w:r>
      <w:r>
        <w:t xml:space="preserve"> </w:t>
      </w:r>
      <w:r>
        <w:t xml:space="preserve">vulnerability analysis — are, in fact, the evaluation activities CC defines in the CEM,</w:t>
      </w:r>
      <w:r>
        <w:t xml:space="preserve"> </w:t>
      </w:r>
      <w:r>
        <w:rPr>
          <w:b/>
          <w:bCs/>
        </w:rPr>
        <w:t xml:space="preserve">scaled down</w:t>
      </w:r>
      <w:r>
        <w:t xml:space="preserve"> </w:t>
      </w:r>
      <w:r>
        <w:t xml:space="preserve">to this</w:t>
      </w:r>
      <w:r>
        <w:t xml:space="preserve"> </w:t>
      </w:r>
      <w:r>
        <w:t xml:space="preserve">course’s level: in CC, ADV (development) documentation is reviewed, ATE (testing) results are</w:t>
      </w:r>
      <w:r>
        <w:t xml:space="preserve"> </w:t>
      </w:r>
      <w:r>
        <w:rPr>
          <w:b/>
          <w:bCs/>
        </w:rPr>
        <w:t xml:space="preserve">independently</w:t>
      </w:r>
      <w:r>
        <w:rPr>
          <w:b/>
          <w:bCs/>
        </w:rPr>
        <w:t xml:space="preserve"> </w:t>
      </w:r>
      <w:r>
        <w:rPr>
          <w:b/>
          <w:bCs/>
        </w:rPr>
        <w:t xml:space="preserve">repeated</w:t>
      </w:r>
      <w:r>
        <w:t xml:space="preserve">, and AVA (vulnerability assessment) analyses attack potential. Your one-session assessment last week</w:t>
      </w:r>
      <w:r>
        <w:t xml:space="preserve"> </w:t>
      </w:r>
      <w:r>
        <w:t xml:space="preserve">imitates, on a small scale, a process an accredited lab spends months on — the same discipline, a different</w:t>
      </w:r>
      <w:r>
        <w:t xml:space="preserve"> </w:t>
      </w:r>
      <w:r>
        <w:t xml:space="preserve">scale.</w:t>
      </w:r>
    </w:p>
    <w:p>
      <w:r>
        <w:pict>
          <v:rect style="width:0;height:1.5pt" o:hralign="center" o:hrstd="t" o:hr="t"/>
        </w:pict>
      </w:r>
    </w:p>
    <w:bookmarkEnd w:id="92"/>
    <w:bookmarkEnd w:id="93"/>
    <w:bookmarkStart w:id="105" w:name="X6acefdc626d3ba0432942b07d1432a049466d9c"/>
    <w:p>
      <w:pPr>
        <w:pStyle w:val="Heading2"/>
      </w:pPr>
      <w:r>
        <w:t xml:space="preserve">5. FIPS 140-3: validating cryptographic modules</w:t>
      </w:r>
    </w:p>
    <w:p>
      <w:pPr>
        <w:pStyle w:val="FirstParagraph"/>
      </w:pPr>
      <w:r>
        <w:rPr>
          <w:b/>
          <w:bCs/>
        </w:rPr>
        <w:t xml:space="preserve">FIPS 140-3</w:t>
      </w:r>
      <w:r>
        <w:t xml:space="preserve"> </w:t>
      </w:r>
      <w:r>
        <w:t xml:space="preserve">is the US NIST’s security standard for cryptographic modules; its content is based on the</w:t>
      </w:r>
      <w:r>
        <w:t xml:space="preserve"> </w:t>
      </w:r>
      <w:r>
        <w:t xml:space="preserve">international ISO/IEC 19790 standard. Validation is performed by accredited laboratories under the</w:t>
      </w:r>
      <w:r>
        <w:t xml:space="preserve"> </w:t>
      </w:r>
      <w:r>
        <w:rPr>
          <w:b/>
          <w:bCs/>
        </w:rPr>
        <w:t xml:space="preserve">Cryptographic</w:t>
      </w:r>
      <w:r>
        <w:rPr>
          <w:b/>
          <w:bCs/>
        </w:rPr>
        <w:t xml:space="preserve"> </w:t>
      </w:r>
      <w:r>
        <w:rPr>
          <w:b/>
          <w:bCs/>
        </w:rPr>
        <w:t xml:space="preserve">Module Validation Program</w:t>
      </w:r>
      <w:r>
        <w:t xml:space="preserve"> </w:t>
      </w:r>
      <w:r>
        <w:t xml:space="preserve">(CMVP), jointly run by NIST and Canada. It replaces FIPS 140-1/140-2, mentioned in the</w:t>
      </w:r>
      <w:r>
        <w:t xml:space="preserve"> </w:t>
      </w:r>
      <w:r>
        <w:t xml:space="preserve">textbook’s Recipe 11.18; as of 2026, FIPS 140-2 certificates are being moved to the historical list.</w:t>
      </w:r>
    </w:p>
    <w:p>
      <w:pPr>
        <w:pStyle w:val="BodyText"/>
      </w:pPr>
      <w:r>
        <w:drawing>
          <wp:inline>
            <wp:extent cx="5759999" cy="2585921"/>
            <wp:effectExtent b="0" l="0" r="0" t="0"/>
            <wp:docPr descr="FIPS 140-3 assurance levels" title="" id="95" name="Picture"/>
            <a:graphic>
              <a:graphicData uri="http://schemas.openxmlformats.org/drawingml/2006/picture">
                <pic:pic>
                  <pic:nvPicPr>
                    <pic:cNvPr descr="h13-08-fips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859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97" w:name="security-levels"/>
    <w:p>
      <w:pPr>
        <w:pStyle w:val="Heading3"/>
      </w:pPr>
      <w:r>
        <w:t xml:space="preserve">Security levels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Level</w:t>
            </w:r>
          </w:p>
        </w:tc>
        <w:tc>
          <w:tcPr/>
          <w:p>
            <w:pPr>
              <w:pStyle w:val="Compact"/>
            </w:pPr>
            <w:r>
              <w:t xml:space="preserve">Standout requirement</w:t>
            </w:r>
          </w:p>
        </w:tc>
        <w:tc>
          <w:tcPr/>
          <w:p>
            <w:pPr>
              <w:pStyle w:val="Compact"/>
            </w:pPr>
            <w:r>
              <w:t xml:space="preserve">Typical module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Approved algorithms, production-grade components; no physical protection required</w:t>
            </w:r>
          </w:p>
        </w:tc>
        <w:tc>
          <w:tcPr/>
          <w:p>
            <w:pPr>
              <w:pStyle w:val="Compact"/>
            </w:pPr>
            <w:r>
              <w:t xml:space="preserve">Software crypto libraries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Tamper</w:t>
            </w:r>
            <w:r>
              <w:t xml:space="preserve"> </w:t>
            </w:r>
            <w:r>
              <w:rPr>
                <w:b/>
                <w:bCs/>
              </w:rPr>
              <w:t xml:space="preserve">evidence</w:t>
            </w:r>
            <w:r>
              <w:t xml:space="preserve"> </w:t>
            </w:r>
            <w:r>
              <w:t xml:space="preserve">(seals, coatings), role-based authentication</w:t>
            </w:r>
          </w:p>
        </w:tc>
        <w:tc>
          <w:tcPr/>
          <w:p>
            <w:pPr>
              <w:pStyle w:val="Compact"/>
            </w:pPr>
            <w:r>
              <w:t xml:space="preserve">Secure tokens, some hardware modules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Tamper</w:t>
            </w:r>
            <w:r>
              <w:t xml:space="preserve"> </w:t>
            </w:r>
            <w:r>
              <w:rPr>
                <w:b/>
                <w:bCs/>
              </w:rPr>
              <w:t xml:space="preserve">resistance and response</w:t>
            </w:r>
            <w:r>
              <w:t xml:space="preserve"> </w:t>
            </w:r>
            <w:r>
              <w:t xml:space="preserve">(erasing the key), identity-based authentication</w:t>
            </w:r>
          </w:p>
        </w:tc>
        <w:tc>
          <w:tcPr/>
          <w:p>
            <w:pPr>
              <w:pStyle w:val="Compact"/>
            </w:pPr>
            <w:r>
              <w:t xml:space="preserve">Network-attached HSMs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Full protection against environmental (voltage, temperature) attacks</w:t>
            </w:r>
          </w:p>
        </w:tc>
        <w:tc>
          <w:tcPr/>
          <w:p>
            <w:pPr>
              <w:pStyle w:val="Compact"/>
            </w:pPr>
            <w:r>
              <w:t xml:space="preserve">Environments where physical attack is expected</w:t>
            </w:r>
          </w:p>
        </w:tc>
      </w:tr>
    </w:tbl>
    <w:bookmarkEnd w:id="97"/>
    <w:bookmarkStart w:id="98" w:name="Xf7ea78b7ec1804165e298cbe968948e1636a092"/>
    <w:p>
      <w:pPr>
        <w:pStyle w:val="Heading3"/>
      </w:pPr>
      <w:r>
        <w:t xml:space="preserve">What a module must do under FIPS 140-3 (summary)</w:t>
      </w:r>
    </w:p>
    <w:p>
      <w:pPr>
        <w:pStyle w:val="Compact"/>
        <w:numPr>
          <w:ilvl w:val="0"/>
          <w:numId w:val="1024"/>
        </w:numPr>
      </w:pPr>
      <w:r>
        <w:t xml:space="preserve">Use only</w:t>
      </w:r>
      <w:r>
        <w:t xml:space="preserve"> </w:t>
      </w:r>
      <w:r>
        <w:rPr>
          <w:b/>
          <w:bCs/>
        </w:rPr>
        <w:t xml:space="preserve">approved algorithms</w:t>
      </w:r>
      <w:r>
        <w:t xml:space="preserve"> </w:t>
      </w:r>
      <w:r>
        <w:t xml:space="preserve">(AES, SHA-2/3, HMAC, RSA, ECDSA, approved random generators; post-quantum</w:t>
      </w:r>
      <w:r>
        <w:t xml:space="preserve"> </w:t>
      </w:r>
      <w:r>
        <w:t xml:space="preserve">algorithms from 2024 onward) in</w:t>
      </w:r>
      <w:r>
        <w:t xml:space="preserve"> </w:t>
      </w:r>
      <w:r>
        <w:rPr>
          <w:b/>
          <w:bCs/>
        </w:rPr>
        <w:t xml:space="preserve">approved mode</w:t>
      </w:r>
      <w:r>
        <w:t xml:space="preserve">; each algorithm must also have a certificate from the</w:t>
      </w:r>
      <w:r>
        <w:t xml:space="preserve"> </w:t>
      </w:r>
      <w:r>
        <w:t xml:space="preserve">algorithm validation program (CAVP).</w:t>
      </w:r>
    </w:p>
    <w:p>
      <w:pPr>
        <w:pStyle w:val="Compact"/>
        <w:numPr>
          <w:ilvl w:val="0"/>
          <w:numId w:val="1024"/>
        </w:numPr>
      </w:pPr>
      <w:r>
        <w:t xml:space="preserve">Perform</w:t>
      </w:r>
      <w:r>
        <w:t xml:space="preserve"> </w:t>
      </w:r>
      <w:r>
        <w:rPr>
          <w:b/>
          <w:bCs/>
        </w:rPr>
        <w:t xml:space="preserve">self-tests</w:t>
      </w:r>
      <w:r>
        <w:t xml:space="preserve"> </w:t>
      </w:r>
      <w:r>
        <w:t xml:space="preserve">on power-up and conditionally (known-answer tests, integrity checks); on failure, enter</w:t>
      </w:r>
      <w:r>
        <w:t xml:space="preserve"> </w:t>
      </w:r>
      <w:r>
        <w:t xml:space="preserve">an error state and provide no cryptographic service.</w:t>
      </w:r>
    </w:p>
    <w:p>
      <w:pPr>
        <w:pStyle w:val="Compact"/>
        <w:numPr>
          <w:ilvl w:val="0"/>
          <w:numId w:val="1024"/>
        </w:numPr>
      </w:pPr>
      <w:r>
        <w:t xml:space="preserve">Define</w:t>
      </w:r>
      <w:r>
        <w:t xml:space="preserve"> </w:t>
      </w:r>
      <w:r>
        <w:rPr>
          <w:b/>
          <w:bCs/>
        </w:rPr>
        <w:t xml:space="preserve">roles and services</w:t>
      </w:r>
      <w:r>
        <w:t xml:space="preserve"> </w:t>
      </w:r>
      <w:r>
        <w:t xml:space="preserve">(user, operator); document which critical security parameter (key) each service</w:t>
      </w:r>
      <w:r>
        <w:t xml:space="preserve"> </w:t>
      </w:r>
      <w:r>
        <w:t xml:space="preserve">accesses.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Generate, input/output, and zeroize</w:t>
      </w:r>
      <w:r>
        <w:t xml:space="preserve"> </w:t>
      </w:r>
      <w:r>
        <w:t xml:space="preserve">critical security parameters securely once their job is done.</w:t>
      </w:r>
    </w:p>
    <w:p>
      <w:pPr>
        <w:pStyle w:val="Compact"/>
        <w:numPr>
          <w:ilvl w:val="0"/>
          <w:numId w:val="1024"/>
        </w:numPr>
      </w:pPr>
      <w:r>
        <w:t xml:space="preserve">Publish a</w:t>
      </w:r>
      <w:r>
        <w:t xml:space="preserve"> </w:t>
      </w:r>
      <w:r>
        <w:rPr>
          <w:b/>
          <w:bCs/>
        </w:rPr>
        <w:t xml:space="preserve">security policy</w:t>
      </w:r>
      <w:r>
        <w:t xml:space="preserve"> </w:t>
      </w:r>
      <w:r>
        <w:t xml:space="preserve">document.</w:t>
      </w:r>
    </w:p>
    <w:p>
      <w:pPr>
        <w:pStyle w:val="BlockText"/>
      </w:pPr>
      <w:r>
        <w:rPr>
          <w:b/>
          <w:bCs/>
        </w:rPr>
        <w:t xml:space="preserve">What does FIPS validation NOT mean?</w:t>
      </w:r>
    </w:p>
    <w:p>
      <w:pPr>
        <w:pStyle w:val="BlockText"/>
      </w:pPr>
      <w:r>
        <w:t xml:space="preserve">An application</w:t>
      </w:r>
      <w:r>
        <w:t xml:space="preserve"> </w:t>
      </w:r>
      <w:r>
        <w:t xml:space="preserve">“using a FIPS-validated library”</w:t>
      </w:r>
      <w:r>
        <w:t xml:space="preserve"> </w:t>
      </w:r>
      <w:r>
        <w:t xml:space="preserve">does not mean the application itself has been validated.</w:t>
      </w:r>
      <w:r>
        <w:t xml:space="preserve"> </w:t>
      </w:r>
      <w:r>
        <w:t xml:space="preserve">Misusing the library (nonce reuse, leaving the key in memory, turning off validation) brings back all the</w:t>
      </w:r>
      <w:r>
        <w:t xml:space="preserve"> </w:t>
      </w:r>
      <w:r>
        <w:t xml:space="preserve">mistakes we saw in Weeks 3 and 10. If your project says</w:t>
      </w:r>
      <w:r>
        <w:t xml:space="preserve"> </w:t>
      </w:r>
      <w:r>
        <w:t xml:space="preserve">“we use OpenSSL’s FIPS provider,”</w:t>
      </w:r>
      <w:r>
        <w:t xml:space="preserve"> </w:t>
      </w:r>
      <w:r>
        <w:t xml:space="preserve">write down</w:t>
      </w:r>
      <w:r>
        <w:t xml:space="preserve"> </w:t>
      </w:r>
      <w:r>
        <w:t xml:space="preserve">separately which requirement this satisfies and which it does not.</w:t>
      </w:r>
    </w:p>
    <w:bookmarkEnd w:id="98"/>
    <w:bookmarkStart w:id="99" w:name="Xe40d0203591e4eb5ab7e15f9c0c30ecb4ddd80e"/>
    <w:p>
      <w:pPr>
        <w:pStyle w:val="Heading3"/>
      </w:pPr>
      <w:r>
        <w:t xml:space="preserve">Worked example: auditing a module against FIPS 140-3 Level 1</w:t>
      </w:r>
    </w:p>
    <w:p>
      <w:pPr>
        <w:pStyle w:val="FirstParagraph"/>
      </w:pPr>
      <w:r>
        <w:t xml:space="preserve">Let’s apply the</w:t>
      </w:r>
      <w:r>
        <w:t xml:space="preserve"> </w:t>
      </w:r>
      <w:r>
        <w:t xml:space="preserve">“summary”</w:t>
      </w:r>
      <w:r>
        <w:t xml:space="preserve"> </w:t>
      </w:r>
      <w:r>
        <w:t xml:space="preserve">list above to a real (but simplified) project. Say your project’s crypto layer works</w:t>
      </w:r>
      <w:r>
        <w:t xml:space="preserve"> </w:t>
      </w:r>
      <w:r>
        <w:t xml:space="preserve">like this: it uses OpenSSL’s standard</w:t>
      </w:r>
      <w:r>
        <w:t xml:space="preserve"> </w:t>
      </w:r>
      <w:r>
        <w:rPr>
          <w:rStyle w:val="VerbatimChar"/>
        </w:rPr>
        <w:t xml:space="preserve">EVP</w:t>
      </w:r>
      <w:r>
        <w:t xml:space="preserve"> </w:t>
      </w:r>
      <w:r>
        <w:t xml:space="preserve">interface, encrypts with AES-256-GCM, generates keys from</w:t>
      </w:r>
      <w:r>
        <w:t xml:space="preserve"> </w:t>
      </w:r>
      <w:r>
        <w:rPr>
          <w:rStyle w:val="VerbatimChar"/>
        </w:rPr>
        <w:t xml:space="preserve">getrandom()</w:t>
      </w:r>
      <w:r>
        <w:t xml:space="preserve"> </w:t>
      </w:r>
      <w:r>
        <w:t xml:space="preserve">(Week 3), and silently</w:t>
      </w:r>
      <w:r>
        <w:t xml:space="preserve"> </w:t>
      </w:r>
      <w:r>
        <w:rPr>
          <w:b/>
          <w:bCs/>
        </w:rPr>
        <w:t xml:space="preserve">falls back to a default key</w:t>
      </w:r>
      <w:r>
        <w:t xml:space="preserve"> </w:t>
      </w:r>
      <w:r>
        <w:t xml:space="preserve">on error. Let’s check off the Level 1</w:t>
      </w:r>
      <w:r>
        <w:t xml:space="preserve"> </w:t>
      </w:r>
      <w:r>
        <w:t xml:space="preserve">expectations one by one: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Level 1 expectation</w:t>
            </w:r>
          </w:p>
        </w:tc>
        <w:tc>
          <w:tcPr/>
          <w:p>
            <w:pPr>
              <w:pStyle w:val="Compact"/>
            </w:pPr>
            <w:r>
              <w:t xml:space="preserve">Status in this project</w:t>
            </w:r>
          </w:p>
        </w:tc>
        <w:tc>
          <w:tcPr/>
          <w:p>
            <w:pPr>
              <w:pStyle w:val="Compact"/>
            </w:pPr>
            <w:r>
              <w:t xml:space="preserve">Why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Only approved algorithms, in approved mode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AES-GCM is an approved algorithm/mode, but this cannot be claimed if the OpenSSL build in use has no CAVP certificate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Power-up and conditional self-tests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met</w:t>
            </w:r>
          </w:p>
        </w:tc>
        <w:tc>
          <w:tcPr/>
          <w:p>
            <w:pPr>
              <w:pStyle w:val="Compact"/>
            </w:pPr>
            <w:r>
              <w:t xml:space="preserve">The project doesn’t run its own self-tests, it only trusts the library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Roles and services defined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met</w:t>
            </w:r>
          </w:p>
        </w:tc>
        <w:tc>
          <w:tcPr/>
          <w:p>
            <w:pPr>
              <w:pStyle w:val="Compact"/>
            </w:pPr>
            <w:r>
              <w:t xml:space="preserve">The code does no role separation at all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Secure input/output and zeroization of critical parameters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met</w:t>
            </w:r>
          </w:p>
        </w:tc>
        <w:tc>
          <w:tcPr/>
          <w:p>
            <w:pPr>
              <w:pStyle w:val="Compact"/>
            </w:pPr>
            <w:r>
              <w:t xml:space="preserve">“Falling back to a default key”</w:t>
            </w:r>
            <w:r>
              <w:t xml:space="preserve"> </w:t>
            </w:r>
            <w:r>
              <w:t xml:space="preserve">on error is the exact opposite behaviour: using a predictable key instead of zeroizing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policy document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met</w:t>
            </w:r>
          </w:p>
        </w:tc>
        <w:tc>
          <w:tcPr/>
          <w:p>
            <w:pPr>
              <w:pStyle w:val="Compact"/>
            </w:pPr>
            <w:r>
              <w:t xml:space="preserve">No such document exists</w:t>
            </w:r>
          </w:p>
        </w:tc>
      </w:tr>
    </w:tbl>
    <w:p>
      <w:pPr>
        <w:pStyle w:val="BodyText"/>
      </w:pPr>
      <w:r>
        <w:t xml:space="preserve">This table shows the project is far even from FIPS 140-3 Level 1, and that the most critical gap is</w:t>
      </w:r>
      <w:r>
        <w:t xml:space="preserve"> </w:t>
      </w:r>
      <w:r>
        <w:t xml:space="preserve">“silently</w:t>
      </w:r>
      <w:r>
        <w:t xml:space="preserve"> </w:t>
      </w:r>
      <w:r>
        <w:t xml:space="preserve">falling back to a default key on error”</w:t>
      </w:r>
      <w:r>
        <w:t xml:space="preserve"> </w:t>
      </w:r>
      <w:r>
        <w:t xml:space="preserve">— this is the exact</w:t>
      </w:r>
      <w:r>
        <w:t xml:space="preserve"> </w:t>
      </w:r>
      <w:r>
        <w:rPr>
          <w:b/>
          <w:bCs/>
        </w:rPr>
        <w:t xml:space="preserve">opposite</w:t>
      </w:r>
      <w:r>
        <w:t xml:space="preserve"> </w:t>
      </w:r>
      <w:r>
        <w:t xml:space="preserve">of the zeroization principle, and a</w:t>
      </w:r>
      <w:r>
        <w:t xml:space="preserve"> </w:t>
      </w:r>
      <w:r>
        <w:t xml:space="preserve">violation of the</w:t>
      </w:r>
      <w:r>
        <w:t xml:space="preserve"> </w:t>
      </w:r>
      <w:r>
        <w:t xml:space="preserve">“if the random generator fails, stop, don’t continue”</w:t>
      </w:r>
      <w:r>
        <w:t xml:space="preserve"> </w:t>
      </w:r>
      <w:r>
        <w:t xml:space="preserve">rule we saw in Week 3.</w:t>
      </w:r>
    </w:p>
    <w:p>
      <w:pPr>
        <w:pStyle w:val="BlockText"/>
      </w:pPr>
      <w:r>
        <w:rPr>
          <w:b/>
          <w:bCs/>
        </w:rPr>
        <w:t xml:space="preserve">Common mistake: saying</w:t>
      </w:r>
      <w:r>
        <w:rPr>
          <w:b/>
          <w:bCs/>
        </w:rPr>
        <w:t xml:space="preserve"> </w:t>
      </w:r>
      <w:r>
        <w:rPr>
          <w:b/>
          <w:bCs/>
        </w:rPr>
        <w:t xml:space="preserve">‘we’re on the FIPS-approved algorithm list,’</w:t>
      </w:r>
      <w:r>
        <w:rPr>
          <w:b/>
          <w:bCs/>
        </w:rPr>
        <w:t xml:space="preserve"> </w:t>
      </w:r>
      <w:r>
        <w:rPr>
          <w:b/>
          <w:bCs/>
        </w:rPr>
        <w:t xml:space="preserve">without a certificate</w:t>
      </w:r>
    </w:p>
    <w:p>
      <w:pPr>
        <w:pStyle w:val="BlockText"/>
      </w:pPr>
      <w:r>
        <w:t xml:space="preserve">AES and SHA-2</w:t>
      </w:r>
      <w:r>
        <w:t xml:space="preserve"> </w:t>
      </w:r>
      <w:r>
        <w:rPr>
          <w:b/>
          <w:bCs/>
        </w:rPr>
        <w:t xml:space="preserve">being</w:t>
      </w:r>
      <w:r>
        <w:t xml:space="preserve"> </w:t>
      </w:r>
      <w:r>
        <w:t xml:space="preserve">FIPS-approved algorithms does not mean the</w:t>
      </w:r>
      <w:r>
        <w:t xml:space="preserve"> </w:t>
      </w:r>
      <w:r>
        <w:rPr>
          <w:b/>
          <w:bCs/>
        </w:rPr>
        <w:t xml:space="preserve">build</w:t>
      </w:r>
      <w:r>
        <w:t xml:space="preserve"> </w:t>
      </w:r>
      <w:r>
        <w:t xml:space="preserve">you use has been validated. In</w:t>
      </w:r>
      <w:r>
        <w:t xml:space="preserve"> </w:t>
      </w:r>
      <w:r>
        <w:t xml:space="preserve">CMVP, every module has its own certificate number and scope (which operating system, which compiler, which</w:t>
      </w:r>
      <w:r>
        <w:t xml:space="preserve"> </w:t>
      </w:r>
      <w:r>
        <w:t xml:space="preserve">version). The sentence</w:t>
      </w:r>
      <w:r>
        <w:t xml:space="preserve"> </w:t>
      </w:r>
      <w:r>
        <w:t xml:space="preserve">“we use AES, so we comply with FIPS”</w:t>
      </w:r>
      <w:r>
        <w:t xml:space="preserve"> </w:t>
      </w:r>
      <w:r>
        <w:t xml:space="preserve">collapses the moment you’re asked which concrete</w:t>
      </w:r>
      <w:r>
        <w:t xml:space="preserve"> </w:t>
      </w:r>
      <w:r>
        <w:t xml:space="preserve">certificate it rests on.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Behind every FIPS claim there must always be a</w:t>
      </w:r>
      <w:r>
        <w:t xml:space="preserve"> </w:t>
      </w:r>
      <w:r>
        <w:rPr>
          <w:b/>
          <w:bCs/>
        </w:rPr>
        <w:t xml:space="preserve">CMVP certificate number and scope</w:t>
      </w:r>
      <w:r>
        <w:t xml:space="preserve">; if there isn’t,</w:t>
      </w:r>
      <w:r>
        <w:t xml:space="preserve"> </w:t>
      </w:r>
      <w:r>
        <w:t xml:space="preserve">honestly narrow the claim to</w:t>
      </w:r>
      <w:r>
        <w:t xml:space="preserve"> </w:t>
      </w:r>
      <w:r>
        <w:t xml:space="preserve">“we use FIPS-approved algorithms (not a validated module).”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The evaluator first compares the version and build flags of the crypto library used against CMVP’s public</w:t>
      </w:r>
      <w:r>
        <w:t xml:space="preserve"> </w:t>
      </w:r>
      <w:r>
        <w:t xml:space="preserve">list; then, in the source code, they look for a power-up self-test call, a stop-on-error behaviour, and key</w:t>
      </w:r>
      <w:r>
        <w:t xml:space="preserve"> </w:t>
      </w:r>
      <w:r>
        <w:t xml:space="preserve">zeroization (memory-wiping) calls. If even one is missing, the claim is considered invalid.</w:t>
      </w:r>
    </w:p>
    <w:bookmarkEnd w:id="99"/>
    <w:bookmarkStart w:id="100" w:name="the-steps-of-fips-validation-roughly"/>
    <w:p>
      <w:pPr>
        <w:pStyle w:val="Heading3"/>
      </w:pPr>
      <w:r>
        <w:t xml:space="preserve">The steps of FIPS validation (roughly)</w:t>
      </w:r>
    </w:p>
    <w:p>
      <w:pPr>
        <w:pStyle w:val="FirstParagraph"/>
      </w:pPr>
      <w:r>
        <w:t xml:space="preserve">Getting a cryptographic module validated under FIPS 140-3 is not a one-time approval, it is a</w:t>
      </w:r>
      <w:r>
        <w:t xml:space="preserve"> </w:t>
      </w:r>
      <w:r>
        <w:rPr>
          <w:b/>
          <w:bCs/>
        </w:rPr>
        <w:t xml:space="preserve">step-by-step</w:t>
      </w:r>
      <w:r>
        <w:rPr>
          <w:b/>
          <w:bCs/>
        </w:rPr>
        <w:t xml:space="preserve"> </w:t>
      </w:r>
      <w:r>
        <w:rPr>
          <w:b/>
          <w:bCs/>
        </w:rPr>
        <w:t xml:space="preserve">process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developer</w:t>
      </w:r>
      <w:r>
        <w:t xml:space="preserve"> </w:t>
      </w:r>
      <w:r>
        <w:t xml:space="preserve">prepares the module with approved algorithms, together with a security policy document.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CAVP</w:t>
      </w:r>
      <w:r>
        <w:t xml:space="preserve"> </w:t>
      </w:r>
      <w:r>
        <w:t xml:space="preserve">(Cryptographic Algorithm Validation Program) tests that each algorithm (AES, SHA-2, HMAC, RSA…) is</w:t>
      </w:r>
      <w:r>
        <w:t xml:space="preserve"> </w:t>
      </w:r>
      <w:r>
        <w:t xml:space="preserve">correctly implemented,</w:t>
      </w:r>
      <w:r>
        <w:t xml:space="preserve"> </w:t>
      </w:r>
      <w:r>
        <w:rPr>
          <w:b/>
          <w:bCs/>
        </w:rPr>
        <w:t xml:space="preserve">separately</w:t>
      </w:r>
      <w:r>
        <w:t xml:space="preserve">, and issues an algorithm certificate.</w:t>
      </w:r>
    </w:p>
    <w:p>
      <w:pPr>
        <w:pStyle w:val="Compact"/>
        <w:numPr>
          <w:ilvl w:val="0"/>
          <w:numId w:val="1025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accredited laboratory</w:t>
      </w:r>
      <w:r>
        <w:t xml:space="preserve"> </w:t>
      </w:r>
      <w:r>
        <w:t xml:space="preserve">tests the module against FIPS 140-3’s physical, logical, and process</w:t>
      </w:r>
      <w:r>
        <w:t xml:space="preserve"> </w:t>
      </w:r>
      <w:r>
        <w:t xml:space="preserve">requirements.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CMVP</w:t>
      </w:r>
      <w:r>
        <w:t xml:space="preserve"> </w:t>
      </w:r>
      <w:r>
        <w:t xml:space="preserve">reviews the laboratory’s report and publishes the module certificate; the certificate states the</w:t>
      </w:r>
      <w:r>
        <w:t xml:space="preserve"> </w:t>
      </w:r>
      <w:r>
        <w:t xml:space="preserve">module’s</w:t>
      </w:r>
      <w:r>
        <w:t xml:space="preserve"> </w:t>
      </w:r>
      <w:r>
        <w:rPr>
          <w:b/>
          <w:bCs/>
        </w:rPr>
        <w:t xml:space="preserve">exact version and the platform it runs on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If the module or platform changes (e.g., a new operating system version), the certificate may require</w:t>
      </w:r>
      <w:r>
        <w:t xml:space="preserve"> </w:t>
      </w:r>
      <w:r>
        <w:rPr>
          <w:b/>
          <w:bCs/>
        </w:rPr>
        <w:t xml:space="preserve">revalidation</w:t>
      </w:r>
      <w:r>
        <w:t xml:space="preserve">.</w:t>
      </w:r>
    </w:p>
    <w:p>
      <w:pPr>
        <w:pStyle w:val="FirstParagraph"/>
      </w:pPr>
      <w:r>
        <w:t xml:space="preserve">This sequence shows why the sentence</w:t>
      </w:r>
      <w:r>
        <w:t xml:space="preserve"> </w:t>
      </w:r>
      <w:r>
        <w:t xml:space="preserve">“we use AES”</w:t>
      </w:r>
      <w:r>
        <w:t xml:space="preserve"> </w:t>
      </w:r>
      <w:r>
        <w:t xml:space="preserve">is insufficient as a FIPS claim: Step 2 covers only the</w:t>
      </w:r>
      <w:r>
        <w:t xml:space="preserve"> </w:t>
      </w:r>
      <w:r>
        <w:t xml:space="preserve">algorithm, while Steps 3–4 cover the</w:t>
      </w:r>
      <w:r>
        <w:t xml:space="preserve"> </w:t>
      </w:r>
      <w:r>
        <w:rPr>
          <w:b/>
          <w:bCs/>
        </w:rPr>
        <w:t xml:space="preserve">whole module</w:t>
      </w:r>
      <w:r>
        <w:t xml:space="preserve"> </w:t>
      </w:r>
      <w:r>
        <w:t xml:space="preserve">(algorithm + self-tests + roles + zeroization). The</w:t>
      </w:r>
      <w:r>
        <w:t xml:space="preserve"> </w:t>
      </w:r>
      <w:r>
        <w:t xml:space="preserve">certificate is not issued until Step 4 is complete.</w:t>
      </w:r>
    </w:p>
    <w:bookmarkEnd w:id="100"/>
    <w:bookmarkStart w:id="101" w:name="what-does-a-cmvp-certificate-state"/>
    <w:p>
      <w:pPr>
        <w:pStyle w:val="Heading3"/>
      </w:pPr>
      <w:r>
        <w:t xml:space="preserve">What does a CMVP certificate state?</w:t>
      </w:r>
    </w:p>
    <w:p>
      <w:pPr>
        <w:pStyle w:val="FirstParagraph"/>
      </w:pPr>
      <w:r>
        <w:t xml:space="preserve">A real CMVP certificate generally states: the module’s name and version, which operating system/hardware it was</w:t>
      </w:r>
      <w:r>
        <w:t xml:space="preserve"> </w:t>
      </w:r>
      <w:r>
        <w:t xml:space="preserve">tested on, which security level it was validated at, and the CAVP certificate numbers of the validated</w:t>
      </w:r>
      <w:r>
        <w:t xml:space="preserve"> </w:t>
      </w:r>
      <w:r>
        <w:t xml:space="preserve">algorithms. When a project says</w:t>
      </w:r>
      <w:r>
        <w:t xml:space="preserve"> </w:t>
      </w:r>
      <w:r>
        <w:t xml:space="preserve">“we use the FIPS-validated library X,”</w:t>
      </w:r>
      <w:r>
        <w:t xml:space="preserve"> </w:t>
      </w:r>
      <w:r>
        <w:t xml:space="preserve">it must actually check that the</w:t>
      </w:r>
      <w:r>
        <w:t xml:space="preserve"> </w:t>
      </w:r>
      <w:r>
        <w:rPr>
          <w:b/>
          <w:bCs/>
        </w:rPr>
        <w:t xml:space="preserve">exact</w:t>
      </w:r>
      <w:r>
        <w:rPr>
          <w:b/>
          <w:bCs/>
        </w:rPr>
        <w:t xml:space="preserve"> </w:t>
      </w:r>
      <w:r>
        <w:rPr>
          <w:b/>
          <w:bCs/>
        </w:rPr>
        <w:t xml:space="preserve">version and platform match</w:t>
      </w:r>
      <w:r>
        <w:t xml:space="preserve"> </w:t>
      </w:r>
      <w:r>
        <w:t xml:space="preserve">in that certificate is identical to how it’s used in their own product; if the</w:t>
      </w:r>
      <w:r>
        <w:t xml:space="preserve"> </w:t>
      </w:r>
      <w:r>
        <w:t xml:space="preserve">certificate was issued for Linux x86-64, an Android ARM build of the same library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automatically</w:t>
      </w:r>
      <w:r>
        <w:t xml:space="preserve"> </w:t>
      </w:r>
      <w:r>
        <w:t xml:space="preserve">inherit that certificate.</w:t>
      </w:r>
    </w:p>
    <w:bookmarkEnd w:id="101"/>
    <w:bookmarkStart w:id="102" w:name="dont-confuse-fips-levels-with-cc-eal"/>
    <w:p>
      <w:pPr>
        <w:pStyle w:val="Heading3"/>
      </w:pPr>
      <w:r>
        <w:t xml:space="preserve">Don’t confuse FIPS levels with CC EAL</w:t>
      </w:r>
    </w:p>
    <w:p>
      <w:pPr>
        <w:pStyle w:val="FirstParagraph"/>
      </w:pPr>
      <w:r>
        <w:t xml:space="preserve">Because both are expressed with small numbers (1 to 4, or 1 to 7), students confuse these two scales: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FIPS 140-3 level (1–4)</w:t>
            </w:r>
          </w:p>
        </w:tc>
        <w:tc>
          <w:tcPr/>
          <w:p>
            <w:pPr>
              <w:pStyle w:val="Compact"/>
            </w:pPr>
            <w:r>
              <w:t xml:space="preserve">CC EAL (1–7)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What does it measure?</w:t>
            </w:r>
          </w:p>
        </w:tc>
        <w:tc>
          <w:tcPr/>
          <w:p>
            <w:pPr>
              <w:pStyle w:val="Compact"/>
            </w:pPr>
            <w:r>
              <w:t xml:space="preserve">The physical/logical protection of a</w:t>
            </w:r>
            <w:r>
              <w:t xml:space="preserve"> </w:t>
            </w:r>
            <w:r>
              <w:rPr>
                <w:b/>
                <w:bCs/>
              </w:rPr>
              <w:t xml:space="preserve">cryptographic module</w:t>
            </w:r>
          </w:p>
        </w:tc>
        <w:tc>
          <w:tcPr/>
          <w:p>
            <w:pPr>
              <w:pStyle w:val="Compact"/>
            </w:pPr>
            <w:r>
              <w:t xml:space="preserve">The evaluation</w:t>
            </w:r>
            <w:r>
              <w:t xml:space="preserve"> </w:t>
            </w:r>
            <w:r>
              <w:rPr>
                <w:b/>
                <w:bCs/>
              </w:rPr>
              <w:t xml:space="preserve">depth</w:t>
            </w:r>
            <w:r>
              <w:t xml:space="preserve"> </w:t>
            </w:r>
            <w:r>
              <w:t xml:space="preserve">of the</w:t>
            </w:r>
            <w:r>
              <w:t xml:space="preserve"> </w:t>
            </w:r>
            <w:r>
              <w:rPr>
                <w:b/>
                <w:bCs/>
              </w:rPr>
              <w:t xml:space="preserve">whole product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Only the crypto module</w:t>
            </w:r>
          </w:p>
        </w:tc>
        <w:tc>
          <w:tcPr/>
          <w:p>
            <w:pPr>
              <w:pStyle w:val="Compact"/>
            </w:pPr>
            <w:r>
              <w:t xml:space="preserve">The whole TOE the product defines in the 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What changes as the number goes up?</w:t>
            </w:r>
          </w:p>
        </w:tc>
        <w:tc>
          <w:tcPr/>
          <w:p>
            <w:pPr>
              <w:pStyle w:val="Compact"/>
            </w:pPr>
            <w:r>
              <w:t xml:space="preserve">More resistance to physical attack</w:t>
            </w:r>
          </w:p>
        </w:tc>
        <w:tc>
          <w:tcPr/>
          <w:p>
            <w:pPr>
              <w:pStyle w:val="Compact"/>
            </w:pPr>
            <w:r>
              <w:t xml:space="preserve">A deeper, more rigorous evaluation (not</w:t>
            </w:r>
            <w:r>
              <w:t xml:space="preserve"> </w:t>
            </w:r>
            <w:r>
              <w:t xml:space="preserve">“more secure”</w:t>
            </w:r>
            <w:r>
              <w:t xml:space="preserve">)</w:t>
            </w:r>
          </w:p>
        </w:tc>
      </w:tr>
    </w:tbl>
    <w:p>
      <w:pPr>
        <w:pStyle w:val="BodyText"/>
      </w:pPr>
      <w:r>
        <w:t xml:space="preserve">A product can claim both</w:t>
      </w:r>
      <w:r>
        <w:t xml:space="preserve"> </w:t>
      </w:r>
      <w:r>
        <w:t xml:space="preserve">“FIPS 140-3 Level 2”</w:t>
      </w:r>
      <w:r>
        <w:t xml:space="preserve"> </w:t>
      </w:r>
      <w:r>
        <w:t xml:space="preserve">and</w:t>
      </w:r>
      <w:r>
        <w:t xml:space="preserve"> </w:t>
      </w:r>
      <w:r>
        <w:t xml:space="preserve">“CC EAL4”</w:t>
      </w:r>
      <w:r>
        <w:t xml:space="preserve"> </w:t>
      </w:r>
      <w:r>
        <w:t xml:space="preserve">at the same time — these are not mutually exclusive,</w:t>
      </w:r>
      <w:r>
        <w:t xml:space="preserve"> </w:t>
      </w:r>
      <w:r>
        <w:t xml:space="preserve">they measure different dimensions. Neither substitutes for the other.</w:t>
      </w:r>
    </w:p>
    <w:p>
      <w:pPr>
        <w:pStyle w:val="BlockText"/>
      </w:pPr>
      <w:r>
        <w:rPr>
          <w:b/>
          <w:bCs/>
        </w:rPr>
        <w:t xml:space="preserve">Common mistake: not noticing a platform/version mismatch</w:t>
      </w:r>
    </w:p>
    <w:p>
      <w:pPr>
        <w:pStyle w:val="BlockText"/>
      </w:pPr>
      <w:r>
        <w:t xml:space="preserve">A team says</w:t>
      </w:r>
      <w:r>
        <w:t xml:space="preserve"> </w:t>
      </w:r>
      <w:r>
        <w:t xml:space="preserve">“OpenSSL’s FIPS provider is validated, and we use OpenSSL,”</w:t>
      </w:r>
      <w:r>
        <w:t xml:space="preserve"> </w:t>
      </w:r>
      <w:r>
        <w:t xml:space="preserve">but their own compiled version, build</w:t>
      </w:r>
      <w:r>
        <w:t xml:space="preserve"> </w:t>
      </w:r>
      <w:r>
        <w:t xml:space="preserve">flags, or target platform are</w:t>
      </w:r>
      <w:r>
        <w:t xml:space="preserve"> </w:t>
      </w:r>
      <w:r>
        <w:rPr>
          <w:b/>
          <w:bCs/>
        </w:rPr>
        <w:t xml:space="preserve">not the same</w:t>
      </w:r>
      <w:r>
        <w:t xml:space="preserve"> </w:t>
      </w:r>
      <w:r>
        <w:t xml:space="preserve">as what’s in the certificate. FIPS validation is tied to the</w:t>
      </w:r>
      <w:r>
        <w:t xml:space="preserve"> </w:t>
      </w:r>
      <w:r>
        <w:t xml:space="preserve">exact tested binary; even with identical source code, a differently compiled binary is considered</w:t>
      </w:r>
      <w:r>
        <w:t xml:space="preserve"> </w:t>
      </w:r>
      <w:r>
        <w:t xml:space="preserve">unvalidated.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When writing a FIPS claim, verify that the certificate’s</w:t>
      </w:r>
      <w:r>
        <w:t xml:space="preserve"> </w:t>
      </w:r>
      <w:r>
        <w:rPr>
          <w:b/>
          <w:bCs/>
        </w:rPr>
        <w:t xml:space="preserve">module version, platform, and build configuration</w:t>
      </w:r>
      <w:r>
        <w:t xml:space="preserve"> </w:t>
      </w:r>
      <w:r>
        <w:t xml:space="preserve">match your project’s usage exactly; if they don’t match, don’t write the claim.</w:t>
      </w:r>
    </w:p>
    <w:bookmarkEnd w:id="102"/>
    <w:bookmarkStart w:id="103" w:name="X669e439227847a6ee6f628aff23f33a2dfb1a02"/>
    <w:p>
      <w:pPr>
        <w:pStyle w:val="Heading3"/>
      </w:pPr>
      <w:r>
        <w:t xml:space="preserve">Three questions to ask before claiming FIPS compliance</w:t>
      </w:r>
    </w:p>
    <w:p>
      <w:pPr>
        <w:pStyle w:val="FirstParagraph"/>
      </w:pPr>
      <w:r>
        <w:t xml:space="preserve">Before writing a FIPS claim in your project, ask these three questions in order: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Which module</w:t>
      </w:r>
      <w:r>
        <w:t xml:space="preserve"> </w:t>
      </w:r>
      <w:r>
        <w:t xml:space="preserve">has the certificate — the operating system’s crypto library, or a separate library embedded</w:t>
      </w:r>
      <w:r>
        <w:t xml:space="preserve"> </w:t>
      </w:r>
      <w:r>
        <w:t xml:space="preserve">by the application?</w:t>
      </w:r>
    </w:p>
    <w:p>
      <w:pPr>
        <w:pStyle w:val="Compact"/>
        <w:numPr>
          <w:ilvl w:val="0"/>
          <w:numId w:val="1026"/>
        </w:numPr>
      </w:pPr>
      <w:r>
        <w:t xml:space="preserve">Does this certificate cover the</w:t>
      </w:r>
      <w:r>
        <w:t xml:space="preserve"> </w:t>
      </w:r>
      <w:r>
        <w:rPr>
          <w:b/>
          <w:bCs/>
        </w:rPr>
        <w:t xml:space="preserve">exact version and platform</w:t>
      </w:r>
      <w:r>
        <w:t xml:space="preserve"> </w:t>
      </w:r>
      <w:r>
        <w:t xml:space="preserve">you use (the</w:t>
      </w:r>
      <w:r>
        <w:t xml:space="preserve"> </w:t>
      </w:r>
      <w:r>
        <w:t xml:space="preserve">“platform/version mismatch”</w:t>
      </w:r>
      <w:r>
        <w:t xml:space="preserve"> </w:t>
      </w:r>
      <w:r>
        <w:t xml:space="preserve">mistake above)?</w:t>
      </w:r>
    </w:p>
    <w:p>
      <w:pPr>
        <w:pStyle w:val="Compact"/>
        <w:numPr>
          <w:ilvl w:val="0"/>
          <w:numId w:val="1026"/>
        </w:numPr>
      </w:pPr>
      <w:r>
        <w:t xml:space="preserve">Does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algorithm call you use run in the module’s</w:t>
      </w:r>
      <w:r>
        <w:t xml:space="preserve"> </w:t>
      </w:r>
      <w:r>
        <w:t xml:space="preserve">“approved mode,”</w:t>
      </w:r>
      <w:r>
        <w:t xml:space="preserve"> </w:t>
      </w:r>
      <w:r>
        <w:t xml:space="preserve">or are you using one of the</w:t>
      </w:r>
      <w:r>
        <w:t xml:space="preserve"> </w:t>
      </w:r>
      <w:r>
        <w:t xml:space="preserve">module’s non-approved helper functions?</w:t>
      </w:r>
    </w:p>
    <w:p>
      <w:pPr>
        <w:pStyle w:val="FirstParagraph"/>
      </w:pPr>
      <w:r>
        <w:t xml:space="preserve">If you cannot answer</w:t>
      </w:r>
      <w:r>
        <w:t xml:space="preserve"> </w:t>
      </w:r>
      <w:r>
        <w:t xml:space="preserve">“yes”</w:t>
      </w:r>
      <w:r>
        <w:t xml:space="preserve"> </w:t>
      </w:r>
      <w:r>
        <w:t xml:space="preserve">to all three questions, narrow your claim down to a smaller, more honest sentence such</w:t>
      </w:r>
      <w:r>
        <w:t xml:space="preserve"> </w:t>
      </w:r>
      <w:r>
        <w:t xml:space="preserve">as</w:t>
      </w:r>
      <w:r>
        <w:t xml:space="preserve"> </w:t>
      </w:r>
      <w:r>
        <w:t xml:space="preserve">“we use FIPS-approved algorithms”</w:t>
      </w:r>
      <w:r>
        <w:t xml:space="preserve"> </w:t>
      </w:r>
      <w:r>
        <w:t xml:space="preserve">(as seen in the tip box at the start of this section).</w:t>
      </w:r>
    </w:p>
    <w:bookmarkEnd w:id="103"/>
    <w:bookmarkStart w:id="104" w:name="the-connection-to-this-weeks-demo"/>
    <w:p>
      <w:pPr>
        <w:pStyle w:val="Heading3"/>
      </w:pPr>
      <w:r>
        <w:t xml:space="preserve">The connection to this week’s demo</w:t>
      </w:r>
    </w:p>
    <w:p>
      <w:pPr>
        <w:pStyle w:val="FirstParagraph"/>
      </w:pPr>
      <w:r>
        <w:t xml:space="preserve">This week’s</w:t>
      </w:r>
      <w:r>
        <w:t xml:space="preserve"> </w:t>
      </w:r>
      <w:r>
        <w:rPr>
          <w:rStyle w:val="VerbatimChar"/>
        </w:rPr>
        <w:t xml:space="preserve">01-uyum-matrisi</w:t>
      </w:r>
      <w:r>
        <w:t xml:space="preserve"> </w:t>
      </w:r>
      <w:r>
        <w:t xml:space="preserve">demo automatically finds</w:t>
      </w:r>
      <w:r>
        <w:t xml:space="preserve"> </w:t>
      </w:r>
      <w:r>
        <w:t xml:space="preserve">“met”</w:t>
      </w:r>
      <w:r>
        <w:t xml:space="preserve"> </w:t>
      </w:r>
      <w:r>
        <w:t xml:space="preserve">rows with no evidence; writing a FIPS claim without</w:t>
      </w:r>
      <w:r>
        <w:t xml:space="preserve"> </w:t>
      </w:r>
      <w:r>
        <w:t xml:space="preserve">evidence is a mistake of the same class. If you write a sentence like</w:t>
      </w:r>
      <w:r>
        <w:t xml:space="preserve"> </w:t>
      </w:r>
      <w:r>
        <w:t xml:space="preserve">“we comply with FIPS 140-3”</w:t>
      </w:r>
      <w:r>
        <w:t xml:space="preserve"> </w:t>
      </w:r>
      <w:r>
        <w:t xml:space="preserve">in your own</w:t>
      </w:r>
      <w:r>
        <w:t xml:space="preserve"> </w:t>
      </w:r>
      <w:r>
        <w:t xml:space="preserve">project, treat it as a</w:t>
      </w:r>
      <w:r>
        <w:t xml:space="preserve"> </w:t>
      </w:r>
      <w:r>
        <w:rPr>
          <w:b/>
          <w:bCs/>
        </w:rPr>
        <w:t xml:space="preserve">separate row</w:t>
      </w:r>
      <w:r>
        <w:t xml:space="preserve"> </w:t>
      </w:r>
      <w:r>
        <w:t xml:space="preserve">in your compliance matrix, and write the certificate number in the</w:t>
      </w:r>
      <w:r>
        <w:t xml:space="preserve"> </w:t>
      </w:r>
      <w:r>
        <w:t xml:space="preserve">evidence column (or the honest</w:t>
      </w:r>
      <w:r>
        <w:t xml:space="preserve"> </w:t>
      </w:r>
      <w:r>
        <w:t xml:space="preserve">“no certificate, we only use approved algorithms”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104"/>
    <w:bookmarkEnd w:id="105"/>
    <w:bookmarkStart w:id="119" w:name="X4f76a44da00f51ed55064496c08289c3162ba85"/>
    <w:p>
      <w:pPr>
        <w:pStyle w:val="Heading2"/>
      </w:pPr>
      <w:r>
        <w:t xml:space="preserve">6. ETSI, GSMA, EMVCo, PCI, and OWASP: sector-specific requirement sets</w:t>
      </w:r>
    </w:p>
    <w:bookmarkStart w:id="109" w:name="Xfc845f43cfbc97b08f0caef7c58685fe6397b91"/>
    <w:p>
      <w:pPr>
        <w:pStyle w:val="Heading3"/>
      </w:pPr>
      <w:r>
        <w:t xml:space="preserve">ETSI EN 303 645: the consumer internet of things</w:t>
      </w:r>
    </w:p>
    <w:p>
      <w:pPr>
        <w:pStyle w:val="FirstParagraph"/>
      </w:pPr>
      <w:r>
        <w:drawing>
          <wp:inline>
            <wp:extent cx="5759999" cy="2484061"/>
            <wp:effectExtent b="0" l="0" r="0" t="0"/>
            <wp:docPr descr="Sector-specific requirement sets" title="" id="107" name="Picture"/>
            <a:graphic>
              <a:graphicData uri="http://schemas.openxmlformats.org/drawingml/2006/picture">
                <pic:pic>
                  <pic:nvPicPr>
                    <pic:cNvPr descr="h13-09-sektor.png" id="108" name="Picture"/>
                    <pic:cNvPicPr>
                      <a:picLocks noChangeArrowheads="1"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840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This standard from the European Telecommunications Standards Institute (ETSI) defines a</w:t>
      </w:r>
      <w:r>
        <w:t xml:space="preserve"> </w:t>
      </w:r>
      <w:r>
        <w:rPr>
          <w:b/>
          <w:bCs/>
        </w:rPr>
        <w:t xml:space="preserve">baseline security</w:t>
      </w:r>
      <w:r>
        <w:rPr>
          <w:b/>
          <w:bCs/>
        </w:rPr>
        <w:t xml:space="preserve"> </w:t>
      </w:r>
      <w:r>
        <w:rPr>
          <w:b/>
          <w:bCs/>
        </w:rPr>
        <w:t xml:space="preserve">line</w:t>
      </w:r>
      <w:r>
        <w:t xml:space="preserve"> </w:t>
      </w:r>
      <w:r>
        <w:t xml:space="preserve">for internet-connected consumer devices, and has become the basis for regulations in Europe. Its thirteen</w:t>
      </w:r>
      <w:r>
        <w:t xml:space="preserve"> </w:t>
      </w:r>
      <w:r>
        <w:t xml:space="preserve">provisions read like a brief summary of the topics we’ve covered throughout the term: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Provision</w:t>
            </w:r>
          </w:p>
        </w:tc>
        <w:tc>
          <w:tcPr/>
          <w:p>
            <w:pPr>
              <w:pStyle w:val="Compact"/>
            </w:pPr>
            <w:r>
              <w:t xml:space="preserve">Its counterpart in this course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5.1</w:t>
            </w:r>
          </w:p>
        </w:tc>
        <w:tc>
          <w:tcPr/>
          <w:p>
            <w:pPr>
              <w:pStyle w:val="Compact"/>
            </w:pPr>
            <w:r>
              <w:t xml:space="preserve">No universal default passwords</w:t>
            </w:r>
          </w:p>
        </w:tc>
        <w:tc>
          <w:tcPr/>
          <w:p>
            <w:pPr>
              <w:pStyle w:val="Compact"/>
            </w:pPr>
            <w:r>
              <w:t xml:space="preserve">Week 1, authentication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5.2</w:t>
            </w:r>
          </w:p>
        </w:tc>
        <w:tc>
          <w:tcPr/>
          <w:p>
            <w:pPr>
              <w:pStyle w:val="Compact"/>
            </w:pPr>
            <w:r>
              <w:t xml:space="preserve">Implement a means to manage reports of vulnerabilities</w:t>
            </w:r>
          </w:p>
        </w:tc>
        <w:tc>
          <w:tcPr/>
          <w:p>
            <w:pPr>
              <w:pStyle w:val="Compact"/>
            </w:pPr>
            <w:r>
              <w:t xml:space="preserve">Week 12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5.3</w:t>
            </w:r>
          </w:p>
        </w:tc>
        <w:tc>
          <w:tcPr/>
          <w:p>
            <w:pPr>
              <w:pStyle w:val="Compact"/>
            </w:pPr>
            <w:r>
              <w:t xml:space="preserve">Keep software updated</w:t>
            </w:r>
          </w:p>
        </w:tc>
        <w:tc>
          <w:tcPr/>
          <w:p>
            <w:pPr>
              <w:pStyle w:val="Compact"/>
            </w:pPr>
            <w:r>
              <w:t xml:space="preserve">Week 1, update signing, Week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5.4</w:t>
            </w:r>
          </w:p>
        </w:tc>
        <w:tc>
          <w:tcPr/>
          <w:p>
            <w:pPr>
              <w:pStyle w:val="Compact"/>
            </w:pPr>
            <w:r>
              <w:t xml:space="preserve">Securely store sensitive security parameters</w:t>
            </w:r>
          </w:p>
        </w:tc>
        <w:tc>
          <w:tcPr/>
          <w:p>
            <w:pPr>
              <w:pStyle w:val="Compact"/>
            </w:pPr>
            <w:r>
              <w:t xml:space="preserve">Weeks 3, 10,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5.5</w:t>
            </w:r>
          </w:p>
        </w:tc>
        <w:tc>
          <w:tcPr/>
          <w:p>
            <w:pPr>
              <w:pStyle w:val="Compact"/>
            </w:pPr>
            <w:r>
              <w:t xml:space="preserve">Communicate securely</w:t>
            </w:r>
          </w:p>
        </w:tc>
        <w:tc>
          <w:tcPr/>
          <w:p>
            <w:pPr>
              <w:pStyle w:val="Compact"/>
            </w:pPr>
            <w:r>
              <w:t xml:space="preserve">Weeks 3,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5.6</w:t>
            </w:r>
          </w:p>
        </w:tc>
        <w:tc>
          <w:tcPr/>
          <w:p>
            <w:pPr>
              <w:pStyle w:val="Compact"/>
            </w:pPr>
            <w:r>
              <w:t xml:space="preserve">Minimise exposed attack surfaces</w:t>
            </w:r>
          </w:p>
        </w:tc>
        <w:tc>
          <w:tcPr/>
          <w:p>
            <w:pPr>
              <w:pStyle w:val="Compact"/>
            </w:pPr>
            <w:r>
              <w:t xml:space="preserve">Week 1, Week 5 minimization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5.7</w:t>
            </w:r>
          </w:p>
        </w:tc>
        <w:tc>
          <w:tcPr/>
          <w:p>
            <w:pPr>
              <w:pStyle w:val="Compact"/>
            </w:pPr>
            <w:r>
              <w:t xml:space="preserve">Ensure software integrity</w:t>
            </w:r>
          </w:p>
        </w:tc>
        <w:tc>
          <w:tcPr/>
          <w:p>
            <w:pPr>
              <w:pStyle w:val="Compact"/>
            </w:pPr>
            <w:r>
              <w:t xml:space="preserve">Week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5.8</w:t>
            </w:r>
          </w:p>
        </w:tc>
        <w:tc>
          <w:tcPr/>
          <w:p>
            <w:pPr>
              <w:pStyle w:val="Compact"/>
            </w:pPr>
            <w:r>
              <w:t xml:space="preserve">Ensure that personal data is protected</w:t>
            </w:r>
          </w:p>
        </w:tc>
        <w:tc>
          <w:tcPr/>
          <w:p>
            <w:pPr>
              <w:pStyle w:val="Compact"/>
            </w:pPr>
            <w:r>
              <w:t xml:space="preserve">Week 3, masking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5.9</w:t>
            </w:r>
          </w:p>
        </w:tc>
        <w:tc>
          <w:tcPr/>
          <w:p>
            <w:pPr>
              <w:pStyle w:val="Compact"/>
            </w:pPr>
            <w:r>
              <w:t xml:space="preserve">Make systems resilient to outages</w:t>
            </w:r>
          </w:p>
        </w:tc>
        <w:tc>
          <w:tcPr/>
          <w:p>
            <w:pPr>
              <w:pStyle w:val="Compact"/>
            </w:pPr>
            <w:r>
              <w:t xml:space="preserve">Availability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5.10</w:t>
            </w:r>
          </w:p>
        </w:tc>
        <w:tc>
          <w:tcPr/>
          <w:p>
            <w:pPr>
              <w:pStyle w:val="Compact"/>
            </w:pPr>
            <w:r>
              <w:t xml:space="preserve">Examine system telemetry data</w:t>
            </w:r>
          </w:p>
        </w:tc>
        <w:tc>
          <w:tcPr/>
          <w:p>
            <w:pPr>
              <w:pStyle w:val="Compact"/>
            </w:pPr>
            <w:r>
              <w:t xml:space="preserve">Week 2, audit logging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5.11</w:t>
            </w:r>
          </w:p>
        </w:tc>
        <w:tc>
          <w:tcPr/>
          <w:p>
            <w:pPr>
              <w:pStyle w:val="Compact"/>
            </w:pPr>
            <w:r>
              <w:t xml:space="preserve">Make it easy for users to delete user data</w:t>
            </w:r>
          </w:p>
        </w:tc>
        <w:tc>
          <w:tcPr/>
          <w:p>
            <w:pPr>
              <w:pStyle w:val="Compact"/>
            </w:pPr>
            <w:r>
              <w:t xml:space="preserve">Week 3, destruction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5.12</w:t>
            </w:r>
          </w:p>
        </w:tc>
        <w:tc>
          <w:tcPr/>
          <w:p>
            <w:pPr>
              <w:pStyle w:val="Compact"/>
            </w:pPr>
            <w:r>
              <w:t xml:space="preserve">Make installation and maintenance of devices easy</w:t>
            </w:r>
          </w:p>
        </w:tc>
        <w:tc>
          <w:tcPr/>
          <w:p>
            <w:pPr>
              <w:pStyle w:val="Compact"/>
            </w:pPr>
            <w:r>
              <w:t xml:space="preserve">Psychological acceptability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5.13</w:t>
            </w:r>
          </w:p>
        </w:tc>
        <w:tc>
          <w:tcPr/>
          <w:p>
            <w:pPr>
              <w:pStyle w:val="Compact"/>
            </w:pPr>
            <w:r>
              <w:t xml:space="preserve">Validate input data</w:t>
            </w:r>
          </w:p>
        </w:tc>
        <w:tc>
          <w:tcPr/>
          <w:p>
            <w:pPr>
              <w:pStyle w:val="Compact"/>
            </w:pPr>
            <w:r>
              <w:t xml:space="preserve">Weeks 4, 5</w:t>
            </w:r>
          </w:p>
        </w:tc>
      </w:tr>
    </w:tbl>
    <w:bookmarkEnd w:id="109"/>
    <w:bookmarkStart w:id="110" w:name="gsma"/>
    <w:p>
      <w:pPr>
        <w:pStyle w:val="Heading3"/>
      </w:pPr>
      <w:r>
        <w:t xml:space="preserve">GSMA</w:t>
      </w:r>
    </w:p>
    <w:p>
      <w:pPr>
        <w:pStyle w:val="FirstParagraph"/>
      </w:pPr>
      <w:r>
        <w:t xml:space="preserve">GSMA, the association of mobile operators, runs the</w:t>
      </w:r>
      <w:r>
        <w:t xml:space="preserve"> </w:t>
      </w:r>
      <w:r>
        <w:rPr>
          <w:b/>
          <w:bCs/>
        </w:rPr>
        <w:t xml:space="preserve">IoT Security Guidelines</w:t>
      </w:r>
      <w:r>
        <w:t xml:space="preserve"> </w:t>
      </w:r>
      <w:r>
        <w:t xml:space="preserve">for IoT devices and services, the</w:t>
      </w:r>
      <w:r>
        <w:t xml:space="preserve"> </w:t>
      </w:r>
      <w:r>
        <w:rPr>
          <w:b/>
          <w:bCs/>
        </w:rPr>
        <w:t xml:space="preserve">Security Accreditation Scheme</w:t>
      </w:r>
      <w:r>
        <w:t xml:space="preserve"> </w:t>
      </w:r>
      <w:r>
        <w:t xml:space="preserve">(SAS) for SIM/eSIM manufacturing and subscription-management facilities, and an</w:t>
      </w:r>
      <w:r>
        <w:t xml:space="preserve"> </w:t>
      </w:r>
      <w:r>
        <w:t xml:space="preserve">assessment scheme for network equipment (</w:t>
      </w:r>
      <w:r>
        <w:rPr>
          <w:b/>
          <w:bCs/>
        </w:rPr>
        <w:t xml:space="preserve">NESAS</w:t>
      </w:r>
      <w:r>
        <w:t xml:space="preserve">). SAS is an example of auditing the</w:t>
      </w:r>
      <w:r>
        <w:t xml:space="preserve"> </w:t>
      </w:r>
      <w:r>
        <w:rPr>
          <w:b/>
          <w:bCs/>
        </w:rPr>
        <w:t xml:space="preserve">manufacturing and</w:t>
      </w:r>
      <w:r>
        <w:rPr>
          <w:b/>
          <w:bCs/>
        </w:rPr>
        <w:t xml:space="preserve"> </w:t>
      </w:r>
      <w:r>
        <w:rPr>
          <w:b/>
          <w:bCs/>
        </w:rPr>
        <w:t xml:space="preserve">management facility</w:t>
      </w:r>
      <w:r>
        <w:t xml:space="preserve">, not the product: physical security, personnel, processes, key management.</w:t>
      </w:r>
    </w:p>
    <w:bookmarkEnd w:id="110"/>
    <w:bookmarkStart w:id="111" w:name="emvco-and-pci-payments"/>
    <w:p>
      <w:pPr>
        <w:pStyle w:val="Heading3"/>
      </w:pPr>
      <w:r>
        <w:t xml:space="preserve">EMVCo and PCI: payments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Standout requirement families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EMVCo Software-Based Mobile Payment security requirements</w:t>
            </w:r>
          </w:p>
        </w:tc>
        <w:tc>
          <w:tcPr/>
          <w:p>
            <w:pPr>
              <w:pStyle w:val="Compact"/>
            </w:pPr>
            <w:r>
              <w:t xml:space="preserve">Payment solutions that don’t use the phone’s secure element (emulating the card in software)</w:t>
            </w:r>
          </w:p>
        </w:tc>
        <w:tc>
          <w:tcPr/>
          <w:p>
            <w:pPr>
              <w:pStyle w:val="Compact"/>
            </w:pPr>
            <w:r>
              <w:t xml:space="preserve">Application protection, identification/authentication and device binding, asset protection, data at rest/in use/in transit, reporting, crypto and keys, the development process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PCI MPoC</w:t>
            </w:r>
          </w:p>
        </w:tc>
        <w:tc>
          <w:tcPr/>
          <w:p>
            <w:pPr>
              <w:pStyle w:val="Compact"/>
            </w:pPr>
            <w:r>
              <w:t xml:space="preserve">Using commercial off-the-shelf phones and tablets as payment-acceptance terminals</w:t>
            </w:r>
          </w:p>
        </w:tc>
        <w:tc>
          <w:tcPr/>
          <w:p>
            <w:pPr>
              <w:pStyle w:val="Compact"/>
            </w:pPr>
            <w:r>
              <w:t xml:space="preserve">The application and the backend together; monitoring and attestation services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PCI DSS</w:t>
            </w:r>
          </w:p>
        </w:tc>
        <w:tc>
          <w:tcPr/>
          <w:p>
            <w:pPr>
              <w:pStyle w:val="Compact"/>
            </w:pPr>
            <w:r>
              <w:t xml:space="preserve">Environments that process card data</w:t>
            </w:r>
          </w:p>
        </w:tc>
        <w:tc>
          <w:tcPr/>
          <w:p>
            <w:pPr>
              <w:pStyle w:val="Compact"/>
            </w:pPr>
            <w:r>
              <w:t xml:space="preserve">Data protection, access control, logging, testing and scanning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PCI Software Security Framework</w:t>
            </w:r>
          </w:p>
        </w:tc>
        <w:tc>
          <w:tcPr/>
          <w:p>
            <w:pPr>
              <w:pStyle w:val="Compact"/>
            </w:pPr>
            <w:r>
              <w:t xml:space="preserve">Secure development of payment software</w:t>
            </w:r>
          </w:p>
        </w:tc>
        <w:tc>
          <w:tcPr/>
          <w:p>
            <w:pPr>
              <w:pStyle w:val="Compact"/>
            </w:pPr>
            <w:r>
              <w:t xml:space="preserve">Secure lifecycle, the software’s own security</w:t>
            </w:r>
          </w:p>
        </w:tc>
      </w:tr>
    </w:tbl>
    <w:p>
      <w:pPr>
        <w:pStyle w:val="BodyText"/>
      </w:pPr>
      <w:r>
        <w:t xml:space="preserve">Notice the EMVCo family list above: throughout the term, every week’s topic corresponded to one of these</w:t>
      </w:r>
      <w:r>
        <w:t xml:space="preserve"> </w:t>
      </w:r>
      <w:r>
        <w:t xml:space="preserve">families. The course’s requirement families (Section 8) are adapted from this structure.</w:t>
      </w:r>
    </w:p>
    <w:bookmarkEnd w:id="111"/>
    <w:bookmarkStart w:id="112" w:name="owasp-masvs-a-practical-checklist"/>
    <w:p>
      <w:pPr>
        <w:pStyle w:val="Heading3"/>
      </w:pPr>
      <w:r>
        <w:t xml:space="preserve">OWASP MASVS: a practical checklist</w:t>
      </w:r>
    </w:p>
    <w:p>
      <w:pPr>
        <w:pStyle w:val="FirstParagraph"/>
      </w:pPr>
      <w:r>
        <w:t xml:space="preserve">Although it doesn’t issue a formal certificate, OWASP’s</w:t>
      </w:r>
      <w:r>
        <w:t xml:space="preserve"> </w:t>
      </w:r>
      <w:r>
        <w:rPr>
          <w:b/>
          <w:bCs/>
        </w:rPr>
        <w:t xml:space="preserve">Mobile Application Security Verification Standard</w:t>
      </w:r>
      <w:r>
        <w:t xml:space="preserve"> </w:t>
      </w:r>
      <w:r>
        <w:t xml:space="preserve">(MASVS) is the most widely used open checklist for mobile applications. Its control groups: storage</w:t>
      </w:r>
      <w:r>
        <w:t xml:space="preserve"> </w:t>
      </w:r>
      <w:r>
        <w:t xml:space="preserve">(MASVS-STORAGE), crypto (MASVS-CRYPTO), authentication (MASVS-AUTH), network (MASVS-NETWORK), platform</w:t>
      </w:r>
      <w:r>
        <w:t xml:space="preserve"> </w:t>
      </w:r>
      <w:r>
        <w:t xml:space="preserve">(MASVS-PLATFORM), code (MASVS-CODE), resilience (MASVS-RESILIENCE), and privacy (MASVS-PRIVACY). Testing methods</w:t>
      </w:r>
      <w:r>
        <w:t xml:space="preserve"> </w:t>
      </w:r>
      <w:r>
        <w:t xml:space="preserve">are given in a separate guide (MASTG). The resilience group covers the topics of Weeks 4, 5, 6, and 9.</w:t>
      </w:r>
    </w:p>
    <w:bookmarkEnd w:id="112"/>
    <w:bookmarkStart w:id="113" w:name="Xe1a986e6586e9d812d9d80523394ccd6cd0130b"/>
    <w:p>
      <w:pPr>
        <w:pStyle w:val="Heading3"/>
      </w:pPr>
      <w:r>
        <w:t xml:space="preserve">Worked example: the same requirement’s counterpart across four standards</w:t>
      </w:r>
    </w:p>
    <w:p>
      <w:pPr>
        <w:pStyle w:val="FirstParagraph"/>
      </w:pPr>
      <w:r>
        <w:t xml:space="preserve">Although the standards were written independently of one another, they generally express the</w:t>
      </w:r>
      <w:r>
        <w:t xml:space="preserve"> </w:t>
      </w:r>
      <w:r>
        <w:rPr>
          <w:b/>
          <w:bCs/>
        </w:rPr>
        <w:t xml:space="preserve">same security</w:t>
      </w:r>
      <w:r>
        <w:rPr>
          <w:b/>
          <w:bCs/>
        </w:rPr>
        <w:t xml:space="preserve"> </w:t>
      </w:r>
      <w:r>
        <w:rPr>
          <w:b/>
          <w:bCs/>
        </w:rPr>
        <w:t xml:space="preserve">need</w:t>
      </w:r>
      <w:r>
        <w:t xml:space="preserve"> </w:t>
      </w:r>
      <w:r>
        <w:t xml:space="preserve">in different words. Let’s trace two requirements across four standards.</w:t>
      </w:r>
    </w:p>
    <w:p>
      <w:pPr>
        <w:pStyle w:val="BodyText"/>
      </w:pPr>
      <w:r>
        <w:rPr>
          <w:b/>
          <w:bCs/>
        </w:rPr>
        <w:t xml:space="preserve">Example 1 — Encryption of sensitive data at rest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Standard</w:t>
            </w:r>
          </w:p>
        </w:tc>
        <w:tc>
          <w:tcPr/>
          <w:p>
            <w:pPr>
              <w:pStyle w:val="Compact"/>
            </w:pPr>
            <w:r>
              <w:t xml:space="preserve">This need’s counterpart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Common Criteria</w:t>
            </w:r>
          </w:p>
        </w:tc>
        <w:tc>
          <w:tcPr/>
          <w:p>
            <w:pPr>
              <w:pStyle w:val="Compact"/>
            </w:pPr>
            <w:r>
              <w:t xml:space="preserve">SFR family</w:t>
            </w:r>
            <w:r>
              <w:t xml:space="preserve"> </w:t>
            </w:r>
            <w:r>
              <w:rPr>
                <w:b/>
                <w:bCs/>
              </w:rPr>
              <w:t xml:space="preserve">FCS</w:t>
            </w:r>
            <w:r>
              <w:t xml:space="preserve"> </w:t>
            </w:r>
            <w:r>
              <w:t xml:space="preserve">(cryptographic support, e.g., FCS_COP cryptographic operation) +</w:t>
            </w:r>
            <w:r>
              <w:t xml:space="preserve"> </w:t>
            </w:r>
            <w:r>
              <w:rPr>
                <w:b/>
                <w:bCs/>
              </w:rPr>
              <w:t xml:space="preserve">FDP</w:t>
            </w:r>
            <w:r>
              <w:t xml:space="preserve"> </w:t>
            </w:r>
            <w:r>
              <w:t xml:space="preserve">(user data protection) components, defined specifically for this data in the 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FIPS 140-3</w:t>
            </w:r>
          </w:p>
        </w:tc>
        <w:tc>
          <w:tcPr/>
          <w:p>
            <w:pPr>
              <w:pStyle w:val="Compact"/>
            </w:pPr>
            <w:r>
              <w:t xml:space="preserve">The Level 1 requirements of the module performing the encryption: approved algorithm, self-test, key zeroization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ETSI EN 303 645</w:t>
            </w:r>
          </w:p>
        </w:tc>
        <w:tc>
          <w:tcPr/>
          <w:p>
            <w:pPr>
              <w:pStyle w:val="Compact"/>
            </w:pPr>
            <w:r>
              <w:t xml:space="preserve">Provision 5.4</w:t>
            </w:r>
            <w:r>
              <w:t xml:space="preserve"> </w:t>
            </w:r>
            <w:r>
              <w:t xml:space="preserve">“Securely store sensitive security parameters”</w:t>
            </w:r>
            <w:r>
              <w:t xml:space="preserve"> </w:t>
            </w:r>
            <w:r>
              <w:t xml:space="preserve">(in the table at the start of this week)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OWASP MASVS</w:t>
            </w:r>
          </w:p>
        </w:tc>
        <w:tc>
          <w:tcPr/>
          <w:p>
            <w:pPr>
              <w:pStyle w:val="Compact"/>
            </w:pPr>
            <w:r>
              <w:t xml:space="preserve">The MASVS-STORAGE group (protection of local storage)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course’s family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CEN429-DR-01</w:t>
            </w:r>
          </w:p>
        </w:tc>
      </w:tr>
    </w:tbl>
    <w:p>
      <w:pPr>
        <w:pStyle w:val="BodyText"/>
      </w:pPr>
      <w:r>
        <w:rPr>
          <w:b/>
          <w:bCs/>
        </w:rPr>
        <w:t xml:space="preserve">Example 2 — Preventing default/weak authentication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Standard</w:t>
            </w:r>
          </w:p>
        </w:tc>
        <w:tc>
          <w:tcPr/>
          <w:p>
            <w:pPr>
              <w:pStyle w:val="Compact"/>
            </w:pPr>
            <w:r>
              <w:t xml:space="preserve">This need’s counterpart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Common Criteria</w:t>
            </w:r>
          </w:p>
        </w:tc>
        <w:tc>
          <w:tcPr/>
          <w:p>
            <w:pPr>
              <w:pStyle w:val="Compact"/>
            </w:pPr>
            <w:r>
              <w:t xml:space="preserve">SFR family</w:t>
            </w:r>
            <w:r>
              <w:t xml:space="preserve"> </w:t>
            </w:r>
            <w:r>
              <w:rPr>
                <w:b/>
                <w:bCs/>
              </w:rPr>
              <w:t xml:space="preserve">FIA</w:t>
            </w:r>
            <w:r>
              <w:t xml:space="preserve"> </w:t>
            </w:r>
            <w:r>
              <w:t xml:space="preserve">(identification and authentication) components (e.g., authentication failure handling)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FIPS 140-3</w:t>
            </w:r>
          </w:p>
        </w:tc>
        <w:tc>
          <w:tcPr/>
          <w:p>
            <w:pPr>
              <w:pStyle w:val="Compact"/>
            </w:pPr>
            <w:r>
              <w:t xml:space="preserve">The role-based authentication that Level 2 requires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ETSI EN 303 645</w:t>
            </w:r>
          </w:p>
        </w:tc>
        <w:tc>
          <w:tcPr/>
          <w:p>
            <w:pPr>
              <w:pStyle w:val="Compact"/>
            </w:pPr>
            <w:r>
              <w:t xml:space="preserve">Provision 5.1</w:t>
            </w:r>
            <w:r>
              <w:t xml:space="preserve"> </w:t>
            </w:r>
            <w:r>
              <w:t xml:space="preserve">“No universal default passwords”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OWASP MASVS</w:t>
            </w:r>
          </w:p>
        </w:tc>
        <w:tc>
          <w:tcPr/>
          <w:p>
            <w:pPr>
              <w:pStyle w:val="Compact"/>
            </w:pPr>
            <w:r>
              <w:t xml:space="preserve">The MASVS-AUTH group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course’s family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CEN429-ID-01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CEN429-ID-02</w:t>
            </w:r>
          </w:p>
        </w:tc>
      </w:tr>
    </w:tbl>
    <w:p>
      <w:pPr>
        <w:pStyle w:val="BodyText"/>
      </w:pPr>
      <w:r>
        <w:t xml:space="preserve">What these two tables show is this: if a product has already prepared the evidence to meet the</w:t>
      </w:r>
      <w:r>
        <w:t xml:space="preserve"> </w:t>
      </w:r>
      <w:r>
        <w:t xml:space="preserve">“data at rest</w:t>
      </w:r>
      <w:r>
        <w:t xml:space="preserve"> </w:t>
      </w:r>
      <w:r>
        <w:t xml:space="preserve">encryption”</w:t>
      </w:r>
      <w:r>
        <w:t xml:space="preserve"> </w:t>
      </w:r>
      <w:r>
        <w:t xml:space="preserve">requirement for an EMVCo/PCI document, most of that same evidence can be</w:t>
      </w:r>
      <w:r>
        <w:t xml:space="preserve"> </w:t>
      </w:r>
      <w:r>
        <w:rPr>
          <w:b/>
          <w:bCs/>
        </w:rPr>
        <w:t xml:space="preserve">reused</w:t>
      </w:r>
      <w:r>
        <w:t xml:space="preserve"> </w:t>
      </w:r>
      <w:r>
        <w:t xml:space="preserve">in a</w:t>
      </w:r>
      <w:r>
        <w:t xml:space="preserve"> </w:t>
      </w:r>
      <w:r>
        <w:t xml:space="preserve">MASVS-STORAGE audit too — because both ask for the same underlying need (encrypted, zeroizable, non-leaking</w:t>
      </w:r>
      <w:r>
        <w:t xml:space="preserve"> </w:t>
      </w:r>
      <w:r>
        <w:t xml:space="preserve">storage). But</w:t>
      </w:r>
      <w:r>
        <w:t xml:space="preserve"> </w:t>
      </w:r>
      <w:r>
        <w:t xml:space="preserve">“reusable”</w:t>
      </w:r>
      <w:r>
        <w:t xml:space="preserve"> </w:t>
      </w:r>
      <w:r>
        <w:t xml:space="preserve">doesn’t mean</w:t>
      </w:r>
      <w:r>
        <w:t xml:space="preserve"> </w:t>
      </w:r>
      <w:r>
        <w:t xml:space="preserve">“automatically met”</w:t>
      </w:r>
      <w:r>
        <w:t xml:space="preserve">; each standard’s own criteria (e.g., MASVS also</w:t>
      </w:r>
      <w:r>
        <w:t xml:space="preserve"> </w:t>
      </w:r>
      <w:r>
        <w:t xml:space="preserve">requires the key to be protected via the operating system’s secure-storage API) must be verified</w:t>
      </w:r>
      <w:r>
        <w:t xml:space="preserve"> </w:t>
      </w:r>
      <w:r>
        <w:rPr>
          <w:b/>
          <w:bCs/>
        </w:rPr>
        <w:t xml:space="preserve">separately</w:t>
      </w:r>
      <w:r>
        <w:t xml:space="preserve">.</w:t>
      </w:r>
    </w:p>
    <w:bookmarkEnd w:id="113"/>
    <w:bookmarkStart w:id="114" w:name="X52db29e40cd39311fae9011e304e015f2317d29"/>
    <w:p>
      <w:pPr>
        <w:pStyle w:val="Heading3"/>
      </w:pPr>
      <w:r>
        <w:t xml:space="preserve">How do you choose and prioritise among standards?</w:t>
      </w:r>
    </w:p>
    <w:p>
      <w:pPr>
        <w:pStyle w:val="FirstParagraph"/>
      </w:pPr>
      <w:r>
        <w:t xml:space="preserve">A project does not try to comply with</w:t>
      </w:r>
      <w:r>
        <w:t xml:space="preserve"> </w:t>
      </w:r>
      <w:r>
        <w:rPr>
          <w:b/>
          <w:bCs/>
        </w:rPr>
        <w:t xml:space="preserve">all five</w:t>
      </w:r>
      <w:r>
        <w:t xml:space="preserve"> </w:t>
      </w:r>
      <w:r>
        <w:t xml:space="preserve">of these sources (CC, FIPS, ETSI, GSMA/EMVCo/PCI, MASVS) at</w:t>
      </w:r>
      <w:r>
        <w:t xml:space="preserve"> </w:t>
      </w:r>
      <w:r>
        <w:t xml:space="preserve">once; which standard applies depends on the product’s</w:t>
      </w:r>
      <w:r>
        <w:t xml:space="preserve"> </w:t>
      </w:r>
      <w:r>
        <w:rPr>
          <w:b/>
          <w:bCs/>
        </w:rPr>
        <w:t xml:space="preserve">type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market</w:t>
      </w:r>
      <w:r>
        <w:t xml:space="preserve">:</w:t>
      </w:r>
    </w:p>
    <w:p>
      <w:pPr>
        <w:pStyle w:val="Compact"/>
        <w:numPr>
          <w:ilvl w:val="0"/>
          <w:numId w:val="1027"/>
        </w:numPr>
      </w:pPr>
      <w:r>
        <w:t xml:space="preserve">If you’re selling a consumer IoT device → ETSI EN 303 645 (a legal requirement in some markets).</w:t>
      </w:r>
    </w:p>
    <w:p>
      <w:pPr>
        <w:pStyle w:val="Compact"/>
        <w:numPr>
          <w:ilvl w:val="0"/>
          <w:numId w:val="1027"/>
        </w:numPr>
      </w:pPr>
      <w:r>
        <w:t xml:space="preserve">If you’re developing a mobile application → OWASP MASVS (the de facto industry standard, even without a</w:t>
      </w:r>
      <w:r>
        <w:t xml:space="preserve"> </w:t>
      </w:r>
      <w:r>
        <w:t xml:space="preserve">certificate requirement).</w:t>
      </w:r>
    </w:p>
    <w:p>
      <w:pPr>
        <w:pStyle w:val="Compact"/>
        <w:numPr>
          <w:ilvl w:val="0"/>
          <w:numId w:val="1027"/>
        </w:numPr>
      </w:pPr>
      <w:r>
        <w:t xml:space="preserve">If you’re a payment-processing application/library → EMVCo and/or PCI documents (the card schemes’</w:t>
      </w:r>
      <w:r>
        <w:t xml:space="preserve"> </w:t>
      </w:r>
      <w:r>
        <w:t xml:space="preserve">requirement).</w:t>
      </w:r>
    </w:p>
    <w:p>
      <w:pPr>
        <w:pStyle w:val="Compact"/>
        <w:numPr>
          <w:ilvl w:val="0"/>
          <w:numId w:val="1027"/>
        </w:numPr>
      </w:pPr>
      <w:r>
        <w:t xml:space="preserve">If you’re selling to a government/defence buyer → a Common Criteria certificate (often a tender requirement).</w:t>
      </w:r>
    </w:p>
    <w:p>
      <w:pPr>
        <w:pStyle w:val="Compact"/>
        <w:numPr>
          <w:ilvl w:val="0"/>
          <w:numId w:val="1027"/>
        </w:numPr>
      </w:pPr>
      <w:r>
        <w:t xml:space="preserve">If you’re selling a cryptographic module/library → FIPS 140-3 (mandatory for US federal buyers).</w:t>
      </w:r>
    </w:p>
    <w:p>
      <w:pPr>
        <w:pStyle w:val="FirstParagraph"/>
      </w:pPr>
      <w:r>
        <w:t xml:space="preserve">The course’s requirement families (Section 8) extract the common denominator of these five; you’re expected to</w:t>
      </w:r>
      <w:r>
        <w:t xml:space="preserve"> </w:t>
      </w:r>
      <w:r>
        <w:t xml:space="preserve">determine which sector your own project falls into and state explicitly, in the S1 (sources) section, which</w:t>
      </w:r>
      <w:r>
        <w:t xml:space="preserve"> </w:t>
      </w:r>
      <w:r>
        <w:t xml:space="preserve">standards you’re basing it on.</w:t>
      </w:r>
    </w:p>
    <w:p>
      <w:pPr>
        <w:pStyle w:val="BlockText"/>
      </w:pPr>
      <w:r>
        <w:rPr>
          <w:b/>
          <w:bCs/>
        </w:rPr>
        <w:t xml:space="preserve">Common mistake: automatically counting compliance with one standard as compliance with another</w:t>
      </w:r>
    </w:p>
    <w:p>
      <w:pPr>
        <w:pStyle w:val="BlockText"/>
      </w:pPr>
      <w:r>
        <w:t xml:space="preserve">The sentence</w:t>
      </w:r>
      <w:r>
        <w:t xml:space="preserve"> </w:t>
      </w:r>
      <w:r>
        <w:t xml:space="preserve">“we use a FIPS-validated module, so we also comply with MASVS-CRYPTO”</w:t>
      </w:r>
      <w:r>
        <w:t xml:space="preserve"> </w:t>
      </w:r>
      <w:r>
        <w:t xml:space="preserve">is dangerous. FIPS only</w:t>
      </w:r>
      <w:r>
        <w:t xml:space="preserve"> </w:t>
      </w:r>
      <w:r>
        <w:t xml:space="preserve">validates that the</w:t>
      </w:r>
      <w:r>
        <w:t xml:space="preserve"> </w:t>
      </w:r>
      <w:r>
        <w:rPr>
          <w:b/>
          <w:bCs/>
        </w:rPr>
        <w:t xml:space="preserve">algorithm</w:t>
      </w:r>
      <w:r>
        <w:t xml:space="preserve"> </w:t>
      </w:r>
      <w:r>
        <w:t xml:space="preserve">is correctly implemented; MASVS-CRYPTO also asks</w:t>
      </w:r>
      <w:r>
        <w:t xml:space="preserve"> </w:t>
      </w:r>
      <w:r>
        <w:rPr>
          <w:b/>
          <w:bCs/>
        </w:rPr>
        <w:t xml:space="preserve">where</w:t>
      </w:r>
      <w:r>
        <w:t xml:space="preserve"> </w:t>
      </w:r>
      <w:r>
        <w:t xml:space="preserve">the keys are</w:t>
      </w:r>
      <w:r>
        <w:t xml:space="preserve"> </w:t>
      </w:r>
      <w:r>
        <w:t xml:space="preserve">stored, whether the application hard-codes its own key, and whether key generation uses the platform’s secure</w:t>
      </w:r>
      <w:r>
        <w:t xml:space="preserve"> </w:t>
      </w:r>
      <w:r>
        <w:t xml:space="preserve">random generator. Even if a module itself is correct, its</w:t>
      </w:r>
      <w:r>
        <w:t xml:space="preserve"> </w:t>
      </w:r>
      <w:r>
        <w:rPr>
          <w:b/>
          <w:bCs/>
        </w:rPr>
        <w:t xml:space="preserve">usage</w:t>
      </w:r>
      <w:r>
        <w:t xml:space="preserve"> </w:t>
      </w:r>
      <w:r>
        <w:t xml:space="preserve">can be wrong (just as in the</w:t>
      </w:r>
      <w:r>
        <w:t xml:space="preserve"> </w:t>
      </w:r>
      <w:r>
        <w:t xml:space="preserve">“What does</w:t>
      </w:r>
      <w:r>
        <w:t xml:space="preserve"> </w:t>
      </w:r>
      <w:r>
        <w:t xml:space="preserve">FIPS validation NOT mean?”</w:t>
      </w:r>
      <w:r>
        <w:t xml:space="preserve"> </w:t>
      </w:r>
      <w:r>
        <w:t xml:space="preserve">box in Section 5).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Use the overlap between standards to</w:t>
      </w:r>
      <w:r>
        <w:t xml:space="preserve"> </w:t>
      </w:r>
      <w:r>
        <w:rPr>
          <w:b/>
          <w:bCs/>
        </w:rPr>
        <w:t xml:space="preserve">speed up evidence gathering</w:t>
      </w:r>
      <w:r>
        <w:t xml:space="preserve"> </w:t>
      </w:r>
      <w:r>
        <w:t xml:space="preserve">(reference the same test/document in</w:t>
      </w:r>
      <w:r>
        <w:t xml:space="preserve"> </w:t>
      </w:r>
      <w:r>
        <w:t xml:space="preserve">more than one matrix), but check off each standard’s checklist</w:t>
      </w:r>
      <w:r>
        <w:t xml:space="preserve"> </w:t>
      </w:r>
      <w:r>
        <w:rPr>
          <w:b/>
          <w:bCs/>
        </w:rPr>
        <w:t xml:space="preserve">separately</w:t>
      </w:r>
      <w:r>
        <w:t xml:space="preserve">. Do not turn a compliance-matrix</w:t>
      </w:r>
      <w:r>
        <w:t xml:space="preserve"> </w:t>
      </w:r>
      <w:r>
        <w:t xml:space="preserve">row into an unevidenced</w:t>
      </w:r>
      <w:r>
        <w:t xml:space="preserve"> </w:t>
      </w:r>
      <w:r>
        <w:t xml:space="preserve">“met”</w:t>
      </w:r>
      <w:r>
        <w:t xml:space="preserve"> </w:t>
      </w:r>
      <w:r>
        <w:t xml:space="preserve">by saying</w:t>
      </w:r>
      <w:r>
        <w:t xml:space="preserve"> </w:t>
      </w:r>
      <w:r>
        <w:t xml:space="preserve">“we already met it under standard X.”</w:t>
      </w:r>
    </w:p>
    <w:bookmarkEnd w:id="114"/>
    <w:bookmarkStart w:id="115" w:name="X1376db78858d31a66f9e299a243784c027f7b6d"/>
    <w:p>
      <w:pPr>
        <w:pStyle w:val="Heading3"/>
      </w:pPr>
      <w:r>
        <w:t xml:space="preserve">Worked example: applying ETSI EN 303 645 provision 5.13 to your project</w:t>
      </w:r>
    </w:p>
    <w:p>
      <w:pPr>
        <w:pStyle w:val="FirstParagraph"/>
      </w:pPr>
      <w:r>
        <w:t xml:space="preserve">Provision 5.13 says</w:t>
      </w:r>
      <w:r>
        <w:t xml:space="preserve"> </w:t>
      </w:r>
      <w:r>
        <w:t xml:space="preserve">“validate input data”</w:t>
      </w:r>
      <w:r>
        <w:t xml:space="preserve">; let’s map this one-to-one to the input validation/sanitization topic</w:t>
      </w:r>
      <w:r>
        <w:t xml:space="preserve"> </w:t>
      </w:r>
      <w:r>
        <w:t xml:space="preserve">we saw in Weeks 4 and 5: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Provision:</w:t>
      </w:r>
      <w:r>
        <w:t xml:space="preserve"> </w:t>
      </w:r>
      <w:r>
        <w:t xml:space="preserve">“Device software must prevent the corruption of data or the crashing of the device by</w:t>
      </w:r>
      <w:r>
        <w:t xml:space="preserve"> </w:t>
      </w:r>
      <w:r>
        <w:t xml:space="preserve">validating data coming from user interfaces or the network.”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The course’s requirement:</w:t>
      </w:r>
      <w:r>
        <w:t xml:space="preserve"> </w:t>
      </w:r>
      <w:r>
        <w:t xml:space="preserve">This provision can be adapted to the course’s</w:t>
      </w:r>
      <w:r>
        <w:t xml:space="preserve"> </w:t>
      </w:r>
      <w:r>
        <w:rPr>
          <w:rStyle w:val="VerbatimChar"/>
        </w:rPr>
        <w:t xml:space="preserve">CEN429-AP</w:t>
      </w:r>
      <w:r>
        <w:t xml:space="preserve"> </w:t>
      </w:r>
      <w:r>
        <w:t xml:space="preserve">family or to a new</w:t>
      </w:r>
      <w:r>
        <w:t xml:space="preserve"> </w:t>
      </w:r>
      <w:r>
        <w:t xml:space="preserve">input-validation family:</w:t>
      </w:r>
      <w:r>
        <w:t xml:space="preserve"> </w:t>
      </w:r>
      <w:r>
        <w:t xml:space="preserve">“Every input coming from the network or the user must pass a length, type, and range</w:t>
      </w:r>
      <w:r>
        <w:t xml:space="preserve"> </w:t>
      </w:r>
      <w:r>
        <w:t xml:space="preserve">check before being processed (see Weeks 4–5).”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Control:</w:t>
      </w:r>
      <w:r>
        <w:t xml:space="preserve"> </w:t>
      </w:r>
      <w:r>
        <w:t xml:space="preserve">The guide lists which parsing functions perform boundary checking.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Verification:</w:t>
      </w:r>
      <w:r>
        <w:t xml:space="preserve"> </w:t>
      </w:r>
      <w:r>
        <w:t xml:space="preserve">Fuzzing or boundary-value testing shows that invalid input is safely rejected (links to</w:t>
      </w:r>
      <w:r>
        <w:t xml:space="preserve"> </w:t>
      </w:r>
      <w:r>
        <w:t xml:space="preserve">Week 4’s fuzzing demo).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Evidence:</w:t>
      </w:r>
      <w:r>
        <w:t xml:space="preserve"> </w:t>
      </w:r>
      <w:r>
        <w:t xml:space="preserve">The fuzz-test run report, a summary showing the crash count is zero.</w:t>
      </w:r>
    </w:p>
    <w:p>
      <w:pPr>
        <w:pStyle w:val="FirstParagraph"/>
      </w:pPr>
      <w:r>
        <w:t xml:space="preserve">This example shows how the ETSI provision’s abstract sentence turns into a concrete requirement, control, and</w:t>
      </w:r>
      <w:r>
        <w:t xml:space="preserve"> </w:t>
      </w:r>
      <w:r>
        <w:t xml:space="preserve">test for the course — just like the traceability chain in Section 2.</w:t>
      </w:r>
    </w:p>
    <w:bookmarkEnd w:id="115"/>
    <w:bookmarkStart w:id="116" w:name="X74e61eb80616ba0cc7596bde31449ed0887f688"/>
    <w:p>
      <w:pPr>
        <w:pStyle w:val="Heading3"/>
      </w:pPr>
      <w:r>
        <w:t xml:space="preserve">A short note on GSMA NESAS and PCI DSS levels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GSMA NESAS</w:t>
      </w:r>
      <w:r>
        <w:t xml:space="preserve"> </w:t>
      </w:r>
      <w:r>
        <w:t xml:space="preserve">(Network Equipment Security Assurance Scheme) evaluates mobile network equipment manufacturers’</w:t>
      </w:r>
      <w:r>
        <w:t xml:space="preserve"> </w:t>
      </w:r>
      <w:r>
        <w:t xml:space="preserve">secure development processes and their products’ security tests; unlike SAS (which is facility-focused), it is</w:t>
      </w:r>
      <w:r>
        <w:t xml:space="preserve"> </w:t>
      </w:r>
      <w:r>
        <w:t xml:space="preserve">both</w:t>
      </w:r>
      <w:r>
        <w:t xml:space="preserve"> </w:t>
      </w:r>
      <w:r>
        <w:rPr>
          <w:b/>
          <w:bCs/>
        </w:rPr>
        <w:t xml:space="preserve">process</w:t>
      </w:r>
      <w:r>
        <w:t xml:space="preserve">- and</w:t>
      </w:r>
      <w:r>
        <w:t xml:space="preserve"> </w:t>
      </w:r>
      <w:r>
        <w:rPr>
          <w:b/>
          <w:bCs/>
        </w:rPr>
        <w:t xml:space="preserve">product</w:t>
      </w:r>
      <w:r>
        <w:t xml:space="preserve">-focused.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PCI DSS</w:t>
      </w:r>
      <w:r>
        <w:t xml:space="preserve"> </w:t>
      </w:r>
      <w:r>
        <w:t xml:space="preserve">divides organisations that process card data into levels based on transaction volume (the</w:t>
      </w:r>
      <w:r>
        <w:t xml:space="preserve"> </w:t>
      </w:r>
      <w:r>
        <w:t xml:space="preserve">highest-volume organisations are subject to the strictest audits); we don’t go into level details within this</w:t>
      </w:r>
      <w:r>
        <w:t xml:space="preserve"> </w:t>
      </w:r>
      <w:r>
        <w:t xml:space="preserve">course, but the idea that</w:t>
      </w:r>
      <w:r>
        <w:t xml:space="preserve"> </w:t>
      </w:r>
      <w:r>
        <w:t xml:space="preserve">“audit frequency/depth changes with size”</w:t>
      </w:r>
      <w:r>
        <w:t xml:space="preserve"> </w:t>
      </w:r>
      <w:r>
        <w:t xml:space="preserve">is similar to CC’s EAL logic: the bigger</w:t>
      </w:r>
      <w:r>
        <w:t xml:space="preserve"> </w:t>
      </w:r>
      <w:r>
        <w:t xml:space="preserve">the risk, the deeper the assurance must be.</w:t>
      </w:r>
    </w:p>
    <w:bookmarkEnd w:id="116"/>
    <w:bookmarkStart w:id="117" w:name="Xa9c2e80b034fb29645330439ebd8083be25e779"/>
    <w:p>
      <w:pPr>
        <w:pStyle w:val="Heading3"/>
      </w:pPr>
      <w:r>
        <w:t xml:space="preserve">A comparative summary table of the sector 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</w:t>
            </w:r>
          </w:p>
        </w:tc>
        <w:tc>
          <w:tcPr/>
          <w:p>
            <w:pPr>
              <w:pStyle w:val="Compact"/>
            </w:pPr>
            <w:r>
              <w:t xml:space="preserve">Which body</w:t>
            </w:r>
          </w:p>
        </w:tc>
        <w:tc>
          <w:tcPr/>
          <w:p>
            <w:pPr>
              <w:pStyle w:val="Compact"/>
            </w:pPr>
            <w:r>
              <w:t xml:space="preserve">Which product type</w:t>
            </w:r>
          </w:p>
        </w:tc>
        <w:tc>
          <w:tcPr/>
          <w:p>
            <w:pPr>
              <w:pStyle w:val="Compact"/>
            </w:pPr>
            <w:r>
              <w:t xml:space="preserve">Is there a formal certificate?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ETSI EN 303 645</w:t>
            </w:r>
          </w:p>
        </w:tc>
        <w:tc>
          <w:tcPr/>
          <w:p>
            <w:pPr>
              <w:pStyle w:val="Compact"/>
            </w:pPr>
            <w:r>
              <w:t xml:space="preserve">ETSI (Europe)</w:t>
            </w:r>
          </w:p>
        </w:tc>
        <w:tc>
          <w:tcPr/>
          <w:p>
            <w:pPr>
              <w:pStyle w:val="Compact"/>
            </w:pPr>
            <w:r>
              <w:t xml:space="preserve">Consumer IoT devices</w:t>
            </w:r>
          </w:p>
        </w:tc>
        <w:tc>
          <w:tcPr/>
          <w:p>
            <w:pPr>
              <w:pStyle w:val="Compact"/>
            </w:pPr>
            <w:r>
              <w:t xml:space="preserve">A legal declaration of conformity in some countries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GSMA IoT Security Guidelines / SAS / NESAS</w:t>
            </w:r>
          </w:p>
        </w:tc>
        <w:tc>
          <w:tcPr/>
          <w:p>
            <w:pPr>
              <w:pStyle w:val="Compact"/>
            </w:pPr>
            <w:r>
              <w:t xml:space="preserve">GSMA</w:t>
            </w:r>
          </w:p>
        </w:tc>
        <w:tc>
          <w:tcPr/>
          <w:p>
            <w:pPr>
              <w:pStyle w:val="Compact"/>
            </w:pPr>
            <w:r>
              <w:t xml:space="preserve">IoT device/service, SIM facilities, network equipment</w:t>
            </w:r>
          </w:p>
        </w:tc>
        <w:tc>
          <w:tcPr/>
          <w:p>
            <w:pPr>
              <w:pStyle w:val="Compact"/>
            </w:pPr>
            <w:r>
              <w:t xml:space="preserve">Yes for SAS/NESAS, no for the guidelines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EMVCo software-based mobile payment</w:t>
            </w:r>
          </w:p>
        </w:tc>
        <w:tc>
          <w:tcPr/>
          <w:p>
            <w:pPr>
              <w:pStyle w:val="Compact"/>
            </w:pPr>
            <w:r>
              <w:t xml:space="preserve">EMVCo</w:t>
            </w:r>
          </w:p>
        </w:tc>
        <w:tc>
          <w:tcPr/>
          <w:p>
            <w:pPr>
              <w:pStyle w:val="Compact"/>
            </w:pPr>
            <w:r>
              <w:t xml:space="preserve">Software payment solutions emulating a card</w:t>
            </w:r>
          </w:p>
        </w:tc>
        <w:tc>
          <w:tcPr/>
          <w:p>
            <w:pPr>
              <w:pStyle w:val="Compact"/>
            </w:pPr>
            <w:r>
              <w:t xml:space="preserve">Yes (EMVCo’s list)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PCI MPoC / DSS / SSF</w:t>
            </w:r>
          </w:p>
        </w:tc>
        <w:tc>
          <w:tcPr/>
          <w:p>
            <w:pPr>
              <w:pStyle w:val="Compact"/>
            </w:pPr>
            <w:r>
              <w:t xml:space="preserve">PCI SSC</w:t>
            </w:r>
          </w:p>
        </w:tc>
        <w:tc>
          <w:tcPr/>
          <w:p>
            <w:pPr>
              <w:pStyle w:val="Compact"/>
            </w:pPr>
            <w:r>
              <w:t xml:space="preserve">Payment acceptance, card data processing, payment software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OWASP MASVS</w:t>
            </w:r>
          </w:p>
        </w:tc>
        <w:tc>
          <w:tcPr/>
          <w:p>
            <w:pPr>
              <w:pStyle w:val="Compact"/>
            </w:pPr>
            <w:r>
              <w:t xml:space="preserve">OWASP (non-profit community)</w:t>
            </w:r>
          </w:p>
        </w:tc>
        <w:tc>
          <w:tcPr/>
          <w:p>
            <w:pPr>
              <w:pStyle w:val="Compact"/>
            </w:pPr>
            <w:r>
              <w:t xml:space="preserve">Mobile applications</w:t>
            </w:r>
          </w:p>
        </w:tc>
        <w:tc>
          <w:tcPr/>
          <w:p>
            <w:pPr>
              <w:pStyle w:val="Compact"/>
            </w:pPr>
            <w:r>
              <w:t xml:space="preserve">No (de facto standard, no formal certificate)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Common Criteria</w:t>
            </w:r>
          </w:p>
        </w:tc>
        <w:tc>
          <w:tcPr/>
          <w:p>
            <w:pPr>
              <w:pStyle w:val="Compact"/>
            </w:pPr>
            <w:r>
              <w:t xml:space="preserve">ISO/IEC, multinational (CCRA)</w:t>
            </w:r>
          </w:p>
        </w:tc>
        <w:tc>
          <w:tcPr/>
          <w:p>
            <w:pPr>
              <w:pStyle w:val="Compact"/>
            </w:pPr>
            <w:r>
              <w:t xml:space="preserve">Any kind of IT product</w:t>
            </w:r>
          </w:p>
        </w:tc>
        <w:tc>
          <w:tcPr/>
          <w:p>
            <w:pPr>
              <w:pStyle w:val="Compact"/>
            </w:pPr>
            <w:r>
              <w:t xml:space="preserve">Yes (internationally recognised)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FIPS 140-3</w:t>
            </w:r>
          </w:p>
        </w:tc>
        <w:tc>
          <w:tcPr/>
          <w:p>
            <w:pPr>
              <w:pStyle w:val="Compact"/>
            </w:pPr>
            <w:r>
              <w:t xml:space="preserve">NIST (US)</w:t>
            </w:r>
          </w:p>
        </w:tc>
        <w:tc>
          <w:tcPr/>
          <w:p>
            <w:pPr>
              <w:pStyle w:val="Compact"/>
            </w:pPr>
            <w:r>
              <w:t xml:space="preserve">Cryptographic modules</w:t>
            </w:r>
          </w:p>
        </w:tc>
        <w:tc>
          <w:tcPr/>
          <w:p>
            <w:pPr>
              <w:pStyle w:val="Compact"/>
            </w:pPr>
            <w:r>
              <w:t xml:space="preserve">Yes (CMVP)</w:t>
            </w:r>
          </w:p>
        </w:tc>
      </w:tr>
    </w:tbl>
    <w:p>
      <w:pPr>
        <w:pStyle w:val="BodyText"/>
      </w:pPr>
      <w:r>
        <w:t xml:space="preserve">This table is this week’s answer to the question we asked at the very start of the course —</w:t>
      </w:r>
      <w:r>
        <w:t xml:space="preserve"> </w:t>
      </w:r>
      <w:r>
        <w:t xml:space="preserve">“who certifies what,</w:t>
      </w:r>
      <w:r>
        <w:t xml:space="preserve"> </w:t>
      </w:r>
      <w:r>
        <w:t xml:space="preserve">and how?”</w:t>
      </w:r>
      <w:r>
        <w:t xml:space="preserve"> </w:t>
      </w:r>
      <w:r>
        <w:t xml:space="preserve">— and serves as a summary closing out Section 6.</w:t>
      </w:r>
    </w:p>
    <w:bookmarkEnd w:id="117"/>
    <w:bookmarkStart w:id="118" w:name="X5b09e15c253dfdefeb3c4bb71b36f0ad561ac75"/>
    <w:p>
      <w:pPr>
        <w:pStyle w:val="Heading3"/>
      </w:pPr>
      <w:r>
        <w:t xml:space="preserve">Can a product belong to more than one set at once?</w:t>
      </w:r>
    </w:p>
    <w:p>
      <w:pPr>
        <w:pStyle w:val="FirstParagraph"/>
      </w:pPr>
      <w:r>
        <w:t xml:space="preserve">Yes, and in fact most real products are. For example, a mobile payment application can simultaneously target: the</w:t>
      </w:r>
      <w:r>
        <w:t xml:space="preserve"> </w:t>
      </w:r>
      <w:r>
        <w:t xml:space="preserve">card scheme’s EMVCo requirements (because it works with card data), OWASP MASVS (because it’s a mobile</w:t>
      </w:r>
      <w:r>
        <w:t xml:space="preserve"> </w:t>
      </w:r>
      <w:r>
        <w:t xml:space="preserve">application), and, indirectly through the crypto library it uses, FIPS 140-3 (because that library may be</w:t>
      </w:r>
      <w:r>
        <w:t xml:space="preserve"> </w:t>
      </w:r>
      <w:r>
        <w:t xml:space="preserve">FIPS-validated). A Common Criteria certificate is generally</w:t>
      </w:r>
      <w:r>
        <w:t xml:space="preserve"> </w:t>
      </w:r>
      <w:r>
        <w:rPr>
          <w:b/>
          <w:bCs/>
        </w:rPr>
        <w:t xml:space="preserve">not needed</w:t>
      </w:r>
      <w:r>
        <w:t xml:space="preserve"> </w:t>
      </w:r>
      <w:r>
        <w:t xml:space="preserve">for this product, because CC is</w:t>
      </w:r>
      <w:r>
        <w:t xml:space="preserve"> </w:t>
      </w:r>
      <w:r>
        <w:t xml:space="preserve">requested mostly by government/defence buyers and is rarely required for consumer payment applications. The same</w:t>
      </w:r>
      <w:r>
        <w:t xml:space="preserve"> </w:t>
      </w:r>
      <w:r>
        <w:t xml:space="preserve">analysis applies to your own project: the answer to</w:t>
      </w:r>
      <w:r>
        <w:t xml:space="preserve"> </w:t>
      </w:r>
      <w:r>
        <w:t xml:space="preserve">“which market are we selling into, and which standard does</w:t>
      </w:r>
      <w:r>
        <w:t xml:space="preserve"> </w:t>
      </w:r>
      <w:r>
        <w:t xml:space="preserve">that market ask for?”</w:t>
      </w:r>
      <w:r>
        <w:t xml:space="preserve"> </w:t>
      </w:r>
      <w:r>
        <w:t xml:space="preserve">determines which standards you write into S1 — you don’t have to write all of them, only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relevant</w:t>
      </w:r>
      <w:r>
        <w:t xml:space="preserve"> </w:t>
      </w:r>
      <w:r>
        <w:t xml:space="preserve">ones.</w:t>
      </w:r>
    </w:p>
    <w:p>
      <w:r>
        <w:pict>
          <v:rect style="width:0;height:1.5pt" o:hralign="center" o:hrstd="t" o:hr="t"/>
        </w:pict>
      </w:r>
    </w:p>
    <w:bookmarkEnd w:id="118"/>
    <w:bookmarkEnd w:id="119"/>
    <w:bookmarkStart w:id="130" w:name="Xa587e7cea86269474486f0feada1d566fd22ae3"/>
    <w:p>
      <w:pPr>
        <w:pStyle w:val="Heading2"/>
      </w:pPr>
      <w:r>
        <w:t xml:space="preserve">7. Carrying requirements into the software plan and asset management</w:t>
      </w:r>
    </w:p>
    <w:p>
      <w:pPr>
        <w:pStyle w:val="FirstParagraph"/>
      </w:pPr>
      <w:r>
        <w:t xml:space="preserve">Reading a requirement set is the easy part. The real work is</w:t>
      </w:r>
      <w:r>
        <w:t xml:space="preserve"> </w:t>
      </w:r>
      <w:r>
        <w:rPr>
          <w:b/>
          <w:bCs/>
        </w:rPr>
        <w:t xml:space="preserve">turning it into the product’s plan</w:t>
      </w:r>
      <w:r>
        <w:t xml:space="preserve">. The steps:</w:t>
      </w:r>
    </w:p>
    <w:p>
      <w:pPr>
        <w:pStyle w:val="BodyText"/>
      </w:pPr>
      <w:r>
        <w:drawing>
          <wp:inline>
            <wp:extent cx="5759999" cy="2281967"/>
            <wp:effectExtent b="0" l="0" r="0" t="0"/>
            <wp:docPr descr="The structure of the compliance matrix" title="" id="121" name="Picture"/>
            <a:graphic>
              <a:graphicData uri="http://schemas.openxmlformats.org/drawingml/2006/picture">
                <pic:pic>
                  <pic:nvPicPr>
                    <pic:cNvPr descr="h13-10-uyum-matrisi.png" id="122" name="Picture"/>
                    <pic:cNvPicPr>
                      <a:picLocks noChangeArrowheads="1"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19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Applicability:</w:t>
      </w:r>
      <w:r>
        <w:t xml:space="preserve"> </w:t>
      </w:r>
      <w:r>
        <w:t xml:space="preserve">for every requirement in the set, ask</w:t>
      </w:r>
      <w:r>
        <w:t xml:space="preserve"> </w:t>
      </w:r>
      <w:r>
        <w:t xml:space="preserve">“does this apply to this product?”</w:t>
      </w:r>
      <w:r>
        <w:t xml:space="preserve"> </w:t>
      </w:r>
      <w:r>
        <w:t xml:space="preserve">Those that don’t</w:t>
      </w:r>
      <w:r>
        <w:t xml:space="preserve"> </w:t>
      </w:r>
      <w:r>
        <w:t xml:space="preserve">apply are marked with their rationale (e.g.,</w:t>
      </w:r>
      <w:r>
        <w:t xml:space="preserve"> </w:t>
      </w:r>
      <w:r>
        <w:t xml:space="preserve">“the product doesn’t use network connectivity, data-in-transit</w:t>
      </w:r>
      <w:r>
        <w:t xml:space="preserve"> </w:t>
      </w:r>
      <w:r>
        <w:t xml:space="preserve">requirements don’t apply”</w:t>
      </w:r>
      <w:r>
        <w:t xml:space="preserve">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Responsibility:</w:t>
      </w:r>
      <w:r>
        <w:t xml:space="preserve"> </w:t>
      </w:r>
      <w:r>
        <w:t xml:space="preserve">applicable requirements are split into</w:t>
      </w:r>
      <w:r>
        <w:t xml:space="preserve"> </w:t>
      </w:r>
      <w:r>
        <w:t xml:space="preserve">“we meet it”</w:t>
      </w:r>
      <w:r>
        <w:t xml:space="preserve"> </w:t>
      </w:r>
      <w:r>
        <w:t xml:space="preserve">and</w:t>
      </w:r>
      <w:r>
        <w:t xml:space="preserve"> </w:t>
      </w:r>
      <w:r>
        <w:t xml:space="preserve">“we defer it”</w:t>
      </w:r>
      <w:r>
        <w:t xml:space="preserve"> </w:t>
      </w:r>
      <w:r>
        <w:t xml:space="preserve">(Section 3).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Linking to assets:</w:t>
      </w:r>
      <w:r>
        <w:t xml:space="preserve"> </w:t>
      </w:r>
      <w:r>
        <w:t xml:space="preserve">every requirement is linked to the relevant assets in the asset table. The requirement</w:t>
      </w:r>
      <w:r>
        <w:t xml:space="preserve"> </w:t>
      </w:r>
      <w:r>
        <w:t xml:space="preserve">“crypto keys must be erased once their job is done”</w:t>
      </w:r>
      <w:r>
        <w:t xml:space="preserve"> </w:t>
      </w:r>
      <w:r>
        <w:t xml:space="preserve">requires the</w:t>
      </w:r>
      <w:r>
        <w:t xml:space="preserve"> </w:t>
      </w:r>
      <w:r>
        <w:t xml:space="preserve">“creation → erasure”</w:t>
      </w:r>
      <w:r>
        <w:t xml:space="preserve"> </w:t>
      </w:r>
      <w:r>
        <w:t xml:space="preserve">column to be filled in</w:t>
      </w:r>
      <w:r>
        <w:t xml:space="preserve"> </w:t>
      </w:r>
      <w:r>
        <w:t xml:space="preserve">for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key in the asset table.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Linking to threats:</w:t>
      </w:r>
      <w:r>
        <w:t xml:space="preserve"> </w:t>
      </w:r>
      <w:r>
        <w:t xml:space="preserve">every requirement must correspond to at least one threat; if it doesn’t, either the</w:t>
      </w:r>
      <w:r>
        <w:t xml:space="preserve"> </w:t>
      </w:r>
      <w:r>
        <w:t xml:space="preserve">threat model is missing something, or the requirement is unnecessary for this product.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Control and verification:</w:t>
      </w:r>
      <w:r>
        <w:t xml:space="preserve"> </w:t>
      </w:r>
      <w:r>
        <w:t xml:space="preserve">a control card and a verification method (test, review, analysis) are planned</w:t>
      </w:r>
      <w:r>
        <w:t xml:space="preserve"> </w:t>
      </w:r>
      <w:r>
        <w:t xml:space="preserve">for every requirement.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Release plan:</w:t>
      </w:r>
      <w:r>
        <w:t xml:space="preserve"> </w:t>
      </w:r>
      <w:r>
        <w:t xml:space="preserve">which requirement will be met in which release is written into the project plan; those that</w:t>
      </w:r>
      <w:r>
        <w:t xml:space="preserve"> </w:t>
      </w:r>
      <w:r>
        <w:t xml:space="preserve">cannot be met are written into residual risk.</w:t>
      </w:r>
    </w:p>
    <w:p>
      <w:pPr>
        <w:pStyle w:val="FirstParagraph"/>
      </w:pPr>
      <w:r>
        <w:drawing>
          <wp:inline>
            <wp:extent cx="5759999" cy="2561342"/>
            <wp:effectExtent b="0" l="0" r="0" t="0"/>
            <wp:docPr descr="The decision flow for carrying a requirement into the project" title="" id="124" name="Picture"/>
            <a:graphic>
              <a:graphicData uri="http://schemas.openxmlformats.org/drawingml/2006/picture">
                <pic:pic>
                  <pic:nvPicPr>
                    <pic:cNvPr descr="h13-02-gereksinim-karari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613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How it’s done in the field</w:t>
      </w:r>
    </w:p>
    <w:p>
      <w:pPr>
        <w:pStyle w:val="BlockText"/>
      </w:pPr>
      <w:r>
        <w:t xml:space="preserve">In a library’s guide, the asset table is a direct reflection of the requirements: for every asset, its size,</w:t>
      </w:r>
      <w:r>
        <w:t xml:space="preserve"> </w:t>
      </w:r>
      <w:r>
        <w:t xml:space="preserve">origin, creation and destruction time, default value, and protection class (C, I, I+, N) are written down,</w:t>
      </w:r>
      <w:r>
        <w:t xml:space="preserve"> </w:t>
      </w:r>
      <w:r>
        <w:t xml:space="preserve">because the requirements say</w:t>
      </w:r>
      <w:r>
        <w:t xml:space="preserve"> </w:t>
      </w:r>
      <w:r>
        <w:t xml:space="preserve">“the confidentiality and integrity need for every asset must be defined”</w:t>
      </w:r>
      <w:r>
        <w:t xml:space="preserve"> </w:t>
      </w:r>
      <w:r>
        <w:t xml:space="preserve">and</w:t>
      </w:r>
      <w:r>
        <w:t xml:space="preserve"> </w:t>
      </w:r>
      <w:r>
        <w:t xml:space="preserve">“assets must be protected while being processed, transferred, and stored.”</w:t>
      </w:r>
      <w:r>
        <w:t xml:space="preserve"> </w:t>
      </w:r>
      <w:r>
        <w:t xml:space="preserve">An evaluator goes from the</w:t>
      </w:r>
      <w:r>
        <w:t xml:space="preserve"> </w:t>
      </w:r>
      <w:r>
        <w:t xml:space="preserve">requirement to the asset table, from there to the security-shell matrix, and to the control cards.</w:t>
      </w:r>
    </w:p>
    <w:bookmarkStart w:id="126" w:name="Xc6a4f61578d36331640774cfcd423e4a414abc9"/>
    <w:p>
      <w:pPr>
        <w:pStyle w:val="Heading3"/>
      </w:pPr>
      <w:r>
        <w:t xml:space="preserve">Worked example: applying the six steps to a single requirement</w:t>
      </w:r>
    </w:p>
    <w:p>
      <w:pPr>
        <w:pStyle w:val="FirstParagraph"/>
      </w:pPr>
      <w:r>
        <w:t xml:space="preserve">Let’s apply the six steps from the start of this section (applicability → responsibility → linking to assets →</w:t>
      </w:r>
      <w:r>
        <w:t xml:space="preserve"> </w:t>
      </w:r>
      <w:r>
        <w:t xml:space="preserve">linking to threats → control and verification → release plan) end to end, through the</w:t>
      </w:r>
      <w:r>
        <w:t xml:space="preserve"> </w:t>
      </w:r>
      <w:r>
        <w:rPr>
          <w:rStyle w:val="VerbatimChar"/>
        </w:rPr>
        <w:t xml:space="preserve">CEN429-CR-03</w:t>
      </w:r>
      <w:r>
        <w:t xml:space="preserve"> </w:t>
      </w:r>
      <w:r>
        <w:t xml:space="preserve">requirement</w:t>
      </w:r>
      <w:r>
        <w:t xml:space="preserve"> </w:t>
      </w:r>
      <w:r>
        <w:t xml:space="preserve">(</w:t>
      </w:r>
      <w:r>
        <w:t xml:space="preserve">“keys must be erased once their job is done”</w:t>
      </w:r>
      <w:r>
        <w:t xml:space="preserve">).</w:t>
      </w:r>
    </w:p>
    <w:p>
      <w:pPr>
        <w:pStyle w:val="BodyText"/>
      </w:pPr>
      <w:r>
        <w:rPr>
          <w:b/>
          <w:bCs/>
        </w:rPr>
        <w:t xml:space="preserve">1. Applicability.</w:t>
      </w:r>
      <w:r>
        <w:t xml:space="preserve"> </w:t>
      </w:r>
      <w:r>
        <w:t xml:space="preserve">Does the project use a crypto key? Yes — there’s a session key and a vault-file key. The</w:t>
      </w:r>
      <w:r>
        <w:t xml:space="preserve"> </w:t>
      </w:r>
      <w:r>
        <w:t xml:space="preserve">requirement</w:t>
      </w:r>
      <w:r>
        <w:t xml:space="preserve"> </w:t>
      </w:r>
      <w:r>
        <w:rPr>
          <w:b/>
          <w:bCs/>
        </w:rPr>
        <w:t xml:space="preserve">applies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2. Responsibility.</w:t>
      </w:r>
      <w:r>
        <w:t xml:space="preserve"> </w:t>
      </w:r>
      <w:r>
        <w:t xml:space="preserve">The code that generates and uses the key is the project’s own code; there’s no reason to</w:t>
      </w:r>
      <w:r>
        <w:t xml:space="preserve"> </w:t>
      </w:r>
      <w:r>
        <w:t xml:space="preserve">defer. The team decides</w:t>
      </w:r>
      <w:r>
        <w:t xml:space="preserve"> </w:t>
      </w:r>
      <w:r>
        <w:rPr>
          <w:b/>
          <w:bCs/>
        </w:rPr>
        <w:t xml:space="preserve">we meet it ourselves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3. Linking to assets.</w:t>
      </w:r>
      <w:r>
        <w:t xml:space="preserve"> </w:t>
      </w:r>
      <w:r>
        <w:t xml:space="preserve">The asset table (S5) has two key rows:</w:t>
      </w:r>
      <w:r>
        <w:t xml:space="preserve"> </w:t>
      </w:r>
      <w:r>
        <w:t xml:space="preserve">“session key”</w:t>
      </w:r>
      <w:r>
        <w:t xml:space="preserve"> </w:t>
      </w:r>
      <w:r>
        <w:t xml:space="preserve">and</w:t>
      </w:r>
      <w:r>
        <w:t xml:space="preserve"> </w:t>
      </w:r>
      <w:r>
        <w:t xml:space="preserve">“vault-file key.”</w:t>
      </w:r>
      <w:r>
        <w:t xml:space="preserve"> </w:t>
      </w:r>
      <w:r>
        <w:t xml:space="preserve">Both need</w:t>
      </w:r>
      <w:r>
        <w:t xml:space="preserve"> </w:t>
      </w:r>
      <w:r>
        <w:t xml:space="preserve">their</w:t>
      </w:r>
      <w:r>
        <w:t xml:space="preserve"> </w:t>
      </w:r>
      <w:r>
        <w:t xml:space="preserve">“creation → use → erasure”</w:t>
      </w:r>
      <w:r>
        <w:t xml:space="preserve"> </w:t>
      </w:r>
      <w:r>
        <w:t xml:space="preserve">column filled in; right now the</w:t>
      </w:r>
      <w:r>
        <w:t xml:space="preserve"> </w:t>
      </w:r>
      <w:r>
        <w:t xml:space="preserve">“vault-file key”</w:t>
      </w:r>
      <w:r>
        <w:t xml:space="preserve"> </w:t>
      </w:r>
      <w:r>
        <w:t xml:space="preserve">row has an empty erasure time.</w:t>
      </w:r>
      <w:r>
        <w:t xml:space="preserve"> </w:t>
      </w:r>
      <w:r>
        <w:t xml:space="preserve">This</w:t>
      </w:r>
      <w:r>
        <w:t xml:space="preserve"> </w:t>
      </w:r>
      <w:r>
        <w:rPr>
          <w:b/>
          <w:bCs/>
        </w:rPr>
        <w:t xml:space="preserve">gap</w:t>
      </w:r>
      <w:r>
        <w:t xml:space="preserve"> </w:t>
      </w:r>
      <w:r>
        <w:t xml:space="preserve">is noticed right here.</w:t>
      </w:r>
    </w:p>
    <w:p>
      <w:pPr>
        <w:pStyle w:val="BodyText"/>
      </w:pPr>
      <w:r>
        <w:rPr>
          <w:b/>
          <w:bCs/>
        </w:rPr>
        <w:t xml:space="preserve">4. Linking to threats.</w:t>
      </w:r>
      <w:r>
        <w:t xml:space="preserve"> </w:t>
      </w:r>
      <w:r>
        <w:t xml:space="preserve">Which threat requires this requirement? Week 1’s threat model has the threat</w:t>
      </w:r>
      <w:r>
        <w:t xml:space="preserve"> </w:t>
      </w:r>
      <w:r>
        <w:t xml:space="preserve">“an</w:t>
      </w:r>
      <w:r>
        <w:t xml:space="preserve"> </w:t>
      </w:r>
      <w:r>
        <w:t xml:space="preserve">attacker with physical access to the device takes a memory dump”</w:t>
      </w:r>
      <w:r>
        <w:t xml:space="preserve">; if the key stays in memory after its job is</w:t>
      </w:r>
      <w:r>
        <w:t xml:space="preserve"> </w:t>
      </w:r>
      <w:r>
        <w:t xml:space="preserve">done, this threat can be realized. The requirement</w:t>
      </w:r>
      <w:r>
        <w:t xml:space="preserve"> </w:t>
      </w:r>
      <w:r>
        <w:rPr>
          <w:b/>
          <w:bCs/>
        </w:rPr>
        <w:t xml:space="preserve">links</w:t>
      </w:r>
      <w:r>
        <w:t xml:space="preserve"> </w:t>
      </w:r>
      <w:r>
        <w:t xml:space="preserve">to this threat; if it couldn’t be linked, either the</w:t>
      </w:r>
      <w:r>
        <w:t xml:space="preserve"> </w:t>
      </w:r>
      <w:r>
        <w:t xml:space="preserve">threat model was missing something or the requirement was unnecessary for this product (item 4 above).</w:t>
      </w:r>
    </w:p>
    <w:p>
      <w:pPr>
        <w:pStyle w:val="BodyText"/>
      </w:pPr>
      <w:r>
        <w:rPr>
          <w:b/>
          <w:bCs/>
        </w:rPr>
        <w:t xml:space="preserve">5. Control and verification.</w:t>
      </w:r>
      <w:r>
        <w:t xml:space="preserve"> </w:t>
      </w:r>
      <w:r>
        <w:t xml:space="preserve">Control:</w:t>
      </w:r>
      <w:r>
        <w:t xml:space="preserve"> </w:t>
      </w:r>
      <w:r>
        <w:rPr>
          <w:rStyle w:val="VerbatimChar"/>
        </w:rPr>
        <w:t xml:space="preserve">sifreleme_bellek_sil()</w:t>
      </w:r>
      <w:r>
        <w:t xml:space="preserve"> </w:t>
      </w:r>
      <w:r>
        <w:t xml:space="preserve">is called immediately after the key is used</w:t>
      </w:r>
      <w:r>
        <w:t xml:space="preserve"> </w:t>
      </w:r>
      <w:r>
        <w:t xml:space="preserve">(overwriting with zeros; it’s made sure the compiler doesn’t optimise this call away — linking to Week 9’s</w:t>
      </w:r>
      <w:r>
        <w:t xml:space="preserve"> </w:t>
      </w:r>
      <w:r>
        <w:t xml:space="preserve">protection rules). Verification: a memory-analysis tool (e.g., taking a memory dump and searching for the key’s</w:t>
      </w:r>
      <w:r>
        <w:t xml:space="preserve"> </w:t>
      </w:r>
      <w:r>
        <w:t xml:space="preserve">bytes) verifies that the key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present in memory once its job is done.</w:t>
      </w:r>
    </w:p>
    <w:p>
      <w:pPr>
        <w:pStyle w:val="BodyText"/>
      </w:pPr>
      <w:r>
        <w:rPr>
          <w:b/>
          <w:bCs/>
        </w:rPr>
        <w:t xml:space="preserve">6. Release plan.</w:t>
      </w:r>
      <w:r>
        <w:t xml:space="preserve"> </w:t>
      </w:r>
      <w:r>
        <w:t xml:space="preserve">For the session key, this control already exists in v0.9 (met). For the vault-file key it’s</w:t>
      </w:r>
      <w:r>
        <w:t xml:space="preserve"> </w:t>
      </w:r>
      <w:r>
        <w:t xml:space="preserve">missing; the team adds it to the v1.0 release plan and, until that day, writes the status in the compliance</w:t>
      </w:r>
      <w:r>
        <w:t xml:space="preserve"> </w:t>
      </w:r>
      <w:r>
        <w:t xml:space="preserve">matrix as</w:t>
      </w:r>
      <w:r>
        <w:t xml:space="preserve"> </w:t>
      </w:r>
      <w:r>
        <w:rPr>
          <w:b/>
          <w:bCs/>
        </w:rPr>
        <w:t xml:space="preserve">not met</w:t>
      </w:r>
      <w:r>
        <w:t xml:space="preserve">, with the residual risk</w:t>
      </w:r>
      <w:r>
        <w:t xml:space="preserve"> </w:t>
      </w:r>
      <w:r>
        <w:t xml:space="preserve">“the vault-file key may remain in memory after its job is done; fix</w:t>
      </w:r>
      <w:r>
        <w:t xml:space="preserve"> </w:t>
      </w:r>
      <w:r>
        <w:t xml:space="preserve">in v1.0.”</w:t>
      </w:r>
    </w:p>
    <w:p>
      <w:pPr>
        <w:pStyle w:val="BodyText"/>
      </w:pPr>
      <w:r>
        <w:t xml:space="preserve">At the end of the six steps, both a compliance-matrix row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a task in the project plan (zeroizing the</w:t>
      </w:r>
      <w:r>
        <w:t xml:space="preserve"> </w:t>
      </w:r>
      <w:r>
        <w:t xml:space="preserve">vault-file key in v1.0) come out of it — this is the difference between</w:t>
      </w:r>
      <w:r>
        <w:t xml:space="preserve"> </w:t>
      </w:r>
      <w:r>
        <w:t xml:space="preserve">“reading a requirement”</w:t>
      </w:r>
      <w:r>
        <w:t xml:space="preserve"> </w:t>
      </w:r>
      <w:r>
        <w:t xml:space="preserve">and</w:t>
      </w:r>
      <w:r>
        <w:t xml:space="preserve"> </w:t>
      </w:r>
      <w:r>
        <w:t xml:space="preserve">“turning a</w:t>
      </w:r>
      <w:r>
        <w:t xml:space="preserve"> </w:t>
      </w:r>
      <w:r>
        <w:t xml:space="preserve">requirement into the project.”</w:t>
      </w:r>
    </w:p>
    <w:p>
      <w:pPr>
        <w:pStyle w:val="BlockText"/>
      </w:pPr>
      <w:r>
        <w:rPr>
          <w:b/>
          <w:bCs/>
        </w:rPr>
        <w:t xml:space="preserve">Common mistake: leaving the</w:t>
      </w:r>
      <w:r>
        <w:rPr>
          <w:b/>
          <w:bCs/>
        </w:rPr>
        <w:t xml:space="preserve"> </w:t>
      </w:r>
      <w:r>
        <w:rPr>
          <w:b/>
          <w:bCs/>
        </w:rPr>
        <w:t xml:space="preserve">‘not applicable’</w:t>
      </w:r>
      <w:r>
        <w:rPr>
          <w:b/>
          <w:bCs/>
        </w:rPr>
        <w:t xml:space="preserve"> </w:t>
      </w:r>
      <w:r>
        <w:rPr>
          <w:b/>
          <w:bCs/>
        </w:rPr>
        <w:t xml:space="preserve">decision without a rationale</w:t>
      </w:r>
    </w:p>
    <w:p>
      <w:pPr>
        <w:pStyle w:val="BlockText"/>
      </w:pPr>
      <w:r>
        <w:t xml:space="preserve">A team marks every requirement in the</w:t>
      </w:r>
      <w:r>
        <w:t xml:space="preserve"> </w:t>
      </w:r>
      <w:r>
        <w:t xml:space="preserve">“data in transit”</w:t>
      </w:r>
      <w:r>
        <w:t xml:space="preserve"> </w:t>
      </w:r>
      <w:r>
        <w:t xml:space="preserve">family</w:t>
      </w:r>
      <w:r>
        <w:t xml:space="preserve"> </w:t>
      </w:r>
      <w:r>
        <w:t xml:space="preserve">“not applicable”</w:t>
      </w:r>
      <w:r>
        <w:t xml:space="preserve"> </w:t>
      </w:r>
      <w:r>
        <w:t xml:space="preserve">with a single sentence,</w:t>
      </w:r>
      <w:r>
        <w:t xml:space="preserve"> </w:t>
      </w:r>
      <w:r>
        <w:t xml:space="preserve">“our</w:t>
      </w:r>
      <w:r>
        <w:t xml:space="preserve"> </w:t>
      </w:r>
      <w:r>
        <w:t xml:space="preserve">product doesn’t use the network,”</w:t>
      </w:r>
      <w:r>
        <w:t xml:space="preserve"> </w:t>
      </w:r>
      <w:r>
        <w:t xml:space="preserve">but provides</w:t>
      </w:r>
      <w:r>
        <w:t xml:space="preserve"> </w:t>
      </w:r>
      <w:r>
        <w:rPr>
          <w:b/>
          <w:bCs/>
        </w:rPr>
        <w:t xml:space="preserve">no evidence</w:t>
      </w:r>
      <w:r>
        <w:t xml:space="preserve"> </w:t>
      </w:r>
      <w:r>
        <w:t xml:space="preserve">to back up that sentence (e.g., a report from a</w:t>
      </w:r>
      <w:r>
        <w:t xml:space="preserve"> </w:t>
      </w:r>
      <w:r>
        <w:t xml:space="preserve">code scan showing there’s no network API call). The evaluator questions this claim:</w:t>
      </w:r>
      <w:r>
        <w:t xml:space="preserve"> </w:t>
      </w:r>
      <w:r>
        <w:t xml:space="preserve">“Is there really no</w:t>
      </w:r>
      <w:r>
        <w:t xml:space="preserve"> </w:t>
      </w:r>
      <w:r>
        <w:t xml:space="preserve">network connection at all, or did you simply not check?”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Every</w:t>
      </w:r>
      <w:r>
        <w:t xml:space="preserve"> </w:t>
      </w:r>
      <w:r>
        <w:t xml:space="preserve">“not applicable”</w:t>
      </w:r>
      <w:r>
        <w:t xml:space="preserve"> </w:t>
      </w:r>
      <w:r>
        <w:t xml:space="preserve">decision must be written together with</w:t>
      </w:r>
      <w:r>
        <w:t xml:space="preserve"> </w:t>
      </w:r>
      <w:r>
        <w:rPr>
          <w:b/>
          <w:bCs/>
        </w:rPr>
        <w:t xml:space="preserve">evidence</w:t>
      </w:r>
      <w:r>
        <w:t xml:space="preserve"> </w:t>
      </w:r>
      <w:r>
        <w:t xml:space="preserve">supporting its rationale (a code</w:t>
      </w:r>
      <w:r>
        <w:t xml:space="preserve"> </w:t>
      </w:r>
      <w:r>
        <w:t xml:space="preserve">scan, an architecture diagram, a dependency list). A</w:t>
      </w:r>
      <w:r>
        <w:t xml:space="preserve"> </w:t>
      </w:r>
      <w:r>
        <w:t xml:space="preserve">“not applicable”</w:t>
      </w:r>
      <w:r>
        <w:t xml:space="preserve"> </w:t>
      </w:r>
      <w:r>
        <w:t xml:space="preserve">with no rationale is just as</w:t>
      </w:r>
      <w:r>
        <w:t xml:space="preserve"> </w:t>
      </w:r>
      <w:r>
        <w:t xml:space="preserve">untrustworthy as a</w:t>
      </w:r>
      <w:r>
        <w:t xml:space="preserve"> </w:t>
      </w:r>
      <w:r>
        <w:t xml:space="preserve">“met”</w:t>
      </w:r>
      <w:r>
        <w:t xml:space="preserve"> </w:t>
      </w:r>
      <w:r>
        <w:t xml:space="preserve">with no evidence — both can mean</w:t>
      </w:r>
      <w:r>
        <w:t xml:space="preserve"> </w:t>
      </w:r>
      <w:r>
        <w:t xml:space="preserve">“not checked.”</w:t>
      </w:r>
    </w:p>
    <w:bookmarkEnd w:id="126"/>
    <w:bookmarkStart w:id="127" w:name="Xd64cc34e199c46a5f4d803f316002878366fb9b"/>
    <w:p>
      <w:pPr>
        <w:pStyle w:val="Heading3"/>
      </w:pPr>
      <w:r>
        <w:t xml:space="preserve">Second example: applying the same six steps to a process requirement</w:t>
      </w:r>
    </w:p>
    <w:p>
      <w:pPr>
        <w:pStyle w:val="FirstParagraph"/>
      </w:pPr>
      <w:r>
        <w:t xml:space="preserve">The steps work the same way not only for technical requirements but for process requirements too. Let’s go</w:t>
      </w:r>
      <w:r>
        <w:t xml:space="preserve"> </w:t>
      </w:r>
      <w:r>
        <w:t xml:space="preserve">quickly through</w:t>
      </w:r>
      <w:r>
        <w:t xml:space="preserve"> </w:t>
      </w:r>
      <w:r>
        <w:rPr>
          <w:rStyle w:val="VerbatimChar"/>
        </w:rPr>
        <w:t xml:space="preserve">CEN429-DV-02</w:t>
      </w:r>
      <w:r>
        <w:t xml:space="preserve"> </w:t>
      </w:r>
      <w:r>
        <w:t xml:space="preserve">(</w:t>
      </w:r>
      <w:r>
        <w:t xml:space="preserve">“every change must be reviewed”</w:t>
      </w:r>
      <w:r>
        <w:t xml:space="preserve">):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Applicability:</w:t>
      </w:r>
      <w:r>
        <w:t xml:space="preserve"> </w:t>
      </w:r>
      <w:r>
        <w:t xml:space="preserve">Does the project use a version control system? Yes → applies.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Responsibility:</w:t>
      </w:r>
      <w:r>
        <w:t xml:space="preserve"> </w:t>
      </w:r>
      <w:r>
        <w:t xml:space="preserve">The team meets it through its own process (there’s no party to defer to).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Linking to assets:</w:t>
      </w:r>
      <w:r>
        <w:t xml:space="preserve"> </w:t>
      </w:r>
      <w:r>
        <w:t xml:space="preserve">It’s not linked to an</w:t>
      </w:r>
      <w:r>
        <w:t xml:space="preserve"> </w:t>
      </w:r>
      <w:r>
        <w:t xml:space="preserve">“asset”</w:t>
      </w:r>
      <w:r>
        <w:t xml:space="preserve"> </w:t>
      </w:r>
      <w:r>
        <w:t xml:space="preserve">directly, but to the</w:t>
      </w:r>
      <w:r>
        <w:t xml:space="preserve"> </w:t>
      </w:r>
      <w:r>
        <w:rPr>
          <w:b/>
          <w:bCs/>
        </w:rPr>
        <w:t xml:space="preserve">development process</w:t>
      </w:r>
      <w:r>
        <w:t xml:space="preserve">; it’s</w:t>
      </w:r>
      <w:r>
        <w:t xml:space="preserve"> </w:t>
      </w:r>
      <w:r>
        <w:t xml:space="preserve">documented not in S5, but in the guide’s</w:t>
      </w:r>
      <w:r>
        <w:t xml:space="preserve"> </w:t>
      </w:r>
      <w:r>
        <w:t xml:space="preserve">“development lifecycle”</w:t>
      </w:r>
      <w:r>
        <w:t xml:space="preserve"> </w:t>
      </w:r>
      <w:r>
        <w:t xml:space="preserve">section.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Linking to threats:</w:t>
      </w:r>
      <w:r>
        <w:t xml:space="preserve"> </w:t>
      </w:r>
      <w:r>
        <w:t xml:space="preserve">Threat:</w:t>
      </w:r>
      <w:r>
        <w:t xml:space="preserve"> </w:t>
      </w:r>
      <w:r>
        <w:t xml:space="preserve">“a malicious or faulty change entering the main branch unnoticed”</w:t>
      </w:r>
      <w:r>
        <w:t xml:space="preserve"> </w:t>
      </w:r>
      <w:r>
        <w:t xml:space="preserve">(Week 6,</w:t>
      </w:r>
      <w:r>
        <w:t xml:space="preserve"> </w:t>
      </w:r>
      <w:r>
        <w:t xml:space="preserve">supply-chain security).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Control and verification:</w:t>
      </w:r>
      <w:r>
        <w:t xml:space="preserve"> </w:t>
      </w:r>
      <w:r>
        <w:t xml:space="preserve">Control: a pull-request rule, at least one approval mandatory. Verification:</w:t>
      </w:r>
      <w:r>
        <w:t xml:space="preserve"> </w:t>
      </w:r>
      <w:r>
        <w:t xml:space="preserve">it’s checked that the last 20 merges in the version-control history have at least one approval record.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Release plan:</w:t>
      </w:r>
      <w:r>
        <w:t xml:space="preserve"> </w:t>
      </w:r>
      <w:r>
        <w:t xml:space="preserve">This process is already in effect; it’s marked</w:t>
      </w:r>
      <w:r>
        <w:t xml:space="preserve"> </w:t>
      </w:r>
      <w:r>
        <w:t xml:space="preserve">“met,”</w:t>
      </w:r>
      <w:r>
        <w:t xml:space="preserve"> </w:t>
      </w:r>
      <w:r>
        <w:t xml:space="preserve">noted as a rule requiring</w:t>
      </w:r>
      <w:r>
        <w:t xml:space="preserve"> </w:t>
      </w:r>
      <w:r>
        <w:rPr>
          <w:b/>
          <w:bCs/>
        </w:rPr>
        <w:t xml:space="preserve">continuous</w:t>
      </w:r>
      <w:r>
        <w:rPr>
          <w:b/>
          <w:bCs/>
        </w:rPr>
        <w:t xml:space="preserve"> </w:t>
      </w:r>
      <w:r>
        <w:rPr>
          <w:b/>
          <w:bCs/>
        </w:rPr>
        <w:t xml:space="preserve">monitoring</w:t>
      </w:r>
      <w:r>
        <w:t xml:space="preserve"> </w:t>
      </w:r>
      <w:r>
        <w:t xml:space="preserve">(not a one-time thing, it applies to every merge).</w:t>
      </w:r>
    </w:p>
    <w:p>
      <w:pPr>
        <w:pStyle w:val="FirstParagraph"/>
      </w:pPr>
      <w:r>
        <w:t xml:space="preserve">This second example shows that the six steps work the same way not just for</w:t>
      </w:r>
      <w:r>
        <w:t xml:space="preserve"> </w:t>
      </w:r>
      <w:r>
        <w:t xml:space="preserve">“crypto requirements,”</w:t>
      </w:r>
      <w:r>
        <w:t xml:space="preserve"> </w:t>
      </w:r>
      <w:r>
        <w:t xml:space="preserve">but for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type of requirement (functional, assurance, process).</w:t>
      </w:r>
    </w:p>
    <w:bookmarkEnd w:id="127"/>
    <w:bookmarkStart w:id="128" w:name="X1a4e7cfe895cb57f25ebda6c6a23afaf64a411d"/>
    <w:p>
      <w:pPr>
        <w:pStyle w:val="Heading3"/>
      </w:pPr>
      <w:r>
        <w:t xml:space="preserve">Writing it into the release plan: a small example</w:t>
      </w:r>
    </w:p>
    <w:p>
      <w:pPr>
        <w:pStyle w:val="FirstParagraph"/>
      </w:pPr>
      <w:r>
        <w:t xml:space="preserve">The sixth step (</w:t>
      </w:r>
      <w:r>
        <w:t xml:space="preserve">“which requirement will be met in which release”</w:t>
      </w:r>
      <w:r>
        <w:t xml:space="preserve">) turned into a concrete project-plan row: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Requirement</w:t>
            </w:r>
          </w:p>
        </w:tc>
        <w:tc>
          <w:tcPr/>
          <w:p>
            <w:pPr>
              <w:pStyle w:val="Compact"/>
            </w:pPr>
            <w:r>
              <w:t xml:space="preserve">Target release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Status (this week)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CEN429-CR-03 (vault-file key erasure)</w:t>
            </w:r>
          </w:p>
        </w:tc>
        <w:tc>
          <w:tcPr/>
          <w:p>
            <w:pPr>
              <w:pStyle w:val="Compact"/>
            </w:pPr>
            <w:r>
              <w:t xml:space="preserve">v1.0</w:t>
            </w:r>
          </w:p>
        </w:tc>
        <w:tc>
          <w:tcPr/>
          <w:p>
            <w:pPr>
              <w:pStyle w:val="Compact"/>
            </w:pPr>
            <w:r>
              <w:t xml:space="preserve">Ahmet</w:t>
            </w:r>
          </w:p>
        </w:tc>
        <w:tc>
          <w:tcPr/>
          <w:p>
            <w:pPr>
              <w:pStyle w:val="Compact"/>
            </w:pPr>
            <w:r>
              <w:t xml:space="preserve">In progress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CEN429-DT-04 (certificate pinning)</w:t>
            </w:r>
          </w:p>
        </w:tc>
        <w:tc>
          <w:tcPr/>
          <w:p>
            <w:pPr>
              <w:pStyle w:val="Compact"/>
            </w:pPr>
            <w:r>
              <w:t xml:space="preserve">v1.1</w:t>
            </w:r>
          </w:p>
        </w:tc>
        <w:tc>
          <w:tcPr/>
          <w:p>
            <w:pPr>
              <w:pStyle w:val="Compact"/>
            </w:pPr>
            <w:r>
              <w:t xml:space="preserve">Aslı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CEN429-DV-02 (code review)</w:t>
            </w:r>
          </w:p>
        </w:tc>
        <w:tc>
          <w:tcPr/>
          <w:p>
            <w:pPr>
              <w:pStyle w:val="Compact"/>
            </w:pPr>
            <w:r>
              <w:t xml:space="preserve">Continuous</w:t>
            </w:r>
          </w:p>
        </w:tc>
        <w:tc>
          <w:tcPr/>
          <w:p>
            <w:pPr>
              <w:pStyle w:val="Compact"/>
            </w:pPr>
            <w:r>
              <w:t xml:space="preserve">Team</w:t>
            </w:r>
          </w:p>
        </w:tc>
        <w:tc>
          <w:tcPr/>
          <w:p>
            <w:pPr>
              <w:pStyle w:val="Compact"/>
            </w:pPr>
            <w:r>
              <w:t xml:space="preserve">Met</w:t>
            </w:r>
          </w:p>
        </w:tc>
      </w:tr>
    </w:tbl>
    <w:p>
      <w:pPr>
        <w:pStyle w:val="BodyText"/>
      </w:pPr>
      <w:r>
        <w:t xml:space="preserve">This table is the project-management-side counterpart of the</w:t>
      </w:r>
      <w:r>
        <w:t xml:space="preserve"> </w:t>
      </w:r>
      <w:r>
        <w:t xml:space="preserve">“not met”</w:t>
      </w:r>
      <w:r>
        <w:t xml:space="preserve"> </w:t>
      </w:r>
      <w:r>
        <w:t xml:space="preserve">rows in S17 (the compliance matrix);</w:t>
      </w:r>
      <w:r>
        <w:t xml:space="preserve"> </w:t>
      </w:r>
      <w:r>
        <w:t xml:space="preserve">whoever updates S17 should update this table in the same session — otherwise the two documents</w:t>
      </w:r>
      <w:r>
        <w:t xml:space="preserve"> </w:t>
      </w:r>
      <w:r>
        <w:rPr>
          <w:b/>
          <w:bCs/>
        </w:rPr>
        <w:t xml:space="preserve">drift apart</w:t>
      </w:r>
      <w:r>
        <w:t xml:space="preserve"> </w:t>
      </w:r>
      <w:r>
        <w:t xml:space="preserve">and one contradicts the other.</w:t>
      </w:r>
    </w:p>
    <w:p>
      <w:pPr>
        <w:pStyle w:val="BlockText"/>
      </w:pPr>
      <w:r>
        <w:rPr>
          <w:b/>
          <w:bCs/>
        </w:rPr>
        <w:t xml:space="preserve">Who should own these steps?</w:t>
      </w:r>
    </w:p>
    <w:p>
      <w:pPr>
        <w:pStyle w:val="BlockText"/>
      </w:pPr>
      <w:r>
        <w:t xml:space="preserve">On a small team, a single person (e.g., the team lead) should keep the compliance matrix up to date, but</w:t>
      </w:r>
      <w:r>
        <w:t xml:space="preserve"> </w:t>
      </w:r>
      <w:r>
        <w:t xml:space="preserve">every developer should note</w:t>
      </w:r>
      <w:r>
        <w:t xml:space="preserve"> </w:t>
      </w:r>
      <w:r>
        <w:rPr>
          <w:b/>
          <w:bCs/>
        </w:rPr>
        <w:t xml:space="preserve">which requirement their own control meets, while they’re writing that</w:t>
      </w:r>
      <w:r>
        <w:rPr>
          <w:b/>
          <w:bCs/>
        </w:rPr>
        <w:t xml:space="preserve"> </w:t>
      </w:r>
      <w:r>
        <w:rPr>
          <w:b/>
          <w:bCs/>
        </w:rPr>
        <w:t xml:space="preserve">feature</w:t>
      </w:r>
      <w:r>
        <w:t xml:space="preserve">. Trying to remember this weeks later usually leads to a wrong or incomplete mapping.</w:t>
      </w:r>
    </w:p>
    <w:bookmarkEnd w:id="128"/>
    <w:bookmarkStart w:id="129" w:name="X166c02c26ef90528dc5d5916f3de9cd0fe4938c"/>
    <w:p>
      <w:pPr>
        <w:pStyle w:val="Heading3"/>
      </w:pPr>
      <w:r>
        <w:t xml:space="preserve">Why skipping these six steps is tempting but wrong</w:t>
      </w:r>
    </w:p>
    <w:p>
      <w:pPr>
        <w:pStyle w:val="FirstParagraph"/>
      </w:pPr>
      <w:r>
        <w:t xml:space="preserve">Reading a requirements list and directly saying</w:t>
      </w:r>
      <w:r>
        <w:t xml:space="preserve"> </w:t>
      </w:r>
      <w:r>
        <w:t xml:space="preserve">“everything’s met”</w:t>
      </w:r>
      <w:r>
        <w:t xml:space="preserve"> </w:t>
      </w:r>
      <w:r>
        <w:t xml:space="preserve">is the fastest way to skip the six steps — and</w:t>
      </w:r>
      <w:r>
        <w:t xml:space="preserve"> </w:t>
      </w:r>
      <w:r>
        <w:t xml:space="preserve">exactly for this reason it’s the most common mistake. Teams under time pressure skip Step 3 (linking to assets)</w:t>
      </w:r>
      <w:r>
        <w:t xml:space="preserve"> </w:t>
      </w:r>
      <w:r>
        <w:t xml:space="preserve">and Step 4 (linking to threats), because these look like</w:t>
      </w:r>
      <w:r>
        <w:t xml:space="preserve"> </w:t>
      </w:r>
      <w:r>
        <w:t xml:space="preserve">“paperwork.”</w:t>
      </w:r>
      <w:r>
        <w:t xml:space="preserve"> </w:t>
      </w:r>
      <w:r>
        <w:t xml:space="preserve">But once these two steps are skipped, the</w:t>
      </w:r>
      <w:r>
        <w:t xml:space="preserve"> </w:t>
      </w:r>
      <w:r>
        <w:t xml:space="preserve">remaining</w:t>
      </w:r>
      <w:r>
        <w:t xml:space="preserve"> </w:t>
      </w:r>
      <w:r>
        <w:t xml:space="preserve">“met”</w:t>
      </w:r>
      <w:r>
        <w:t xml:space="preserve"> </w:t>
      </w:r>
      <w:r>
        <w:t xml:space="preserve">claim rests on</w:t>
      </w:r>
      <w:r>
        <w:t xml:space="preserve"> </w:t>
      </w:r>
      <w:r>
        <w:rPr>
          <w:b/>
          <w:bCs/>
        </w:rPr>
        <w:t xml:space="preserve">nothing</w:t>
      </w:r>
      <w:r>
        <w:t xml:space="preserve">; this is why Section 9’s project checklist asks you to review S5 (the</w:t>
      </w:r>
      <w:r>
        <w:t xml:space="preserve"> </w:t>
      </w:r>
      <w:r>
        <w:t xml:space="preserve">asset table) and S17 (the compliance matrix)</w:t>
      </w:r>
      <w:r>
        <w:t xml:space="preserve"> </w:t>
      </w:r>
      <w:r>
        <w:rPr>
          <w:b/>
          <w:bCs/>
        </w:rPr>
        <w:t xml:space="preserve">together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29"/>
    <w:bookmarkEnd w:id="130"/>
    <w:bookmarkStart w:id="139" w:name="the-courses-requirement-families"/>
    <w:p>
      <w:pPr>
        <w:pStyle w:val="Heading2"/>
      </w:pPr>
      <w:r>
        <w:t xml:space="preserve">8. The course’s requirement families</w:t>
      </w:r>
    </w:p>
    <w:p>
      <w:pPr>
        <w:pStyle w:val="FirstParagraph"/>
      </w:pPr>
      <w:r>
        <w:t xml:space="preserve">For your term project, we use a requirement set adapted from open standards (ETSI EN 303 645, OWASP MASVS, NIST</w:t>
      </w:r>
      <w:r>
        <w:t xml:space="preserve"> </w:t>
      </w:r>
      <w:r>
        <w:t xml:space="preserve">SSDF, Common Criteria catalogues) and the structure of sector documents. Ids take the form</w:t>
      </w:r>
      <w:r>
        <w:t xml:space="preserve"> </w:t>
      </w:r>
      <w:r>
        <w:rPr>
          <w:rStyle w:val="VerbatimChar"/>
        </w:rPr>
        <w:t xml:space="preserve">CEN429-&lt;family&gt;-&lt;number&gt;</w:t>
      </w:r>
      <w:r>
        <w:t xml:space="preserve">.</w:t>
      </w:r>
    </w:p>
    <w:p>
      <w:pPr>
        <w:pStyle w:val="BodyText"/>
      </w:pPr>
      <w:r>
        <w:drawing>
          <wp:inline>
            <wp:extent cx="5759999" cy="2748610"/>
            <wp:effectExtent b="0" l="0" r="0" t="0"/>
            <wp:docPr descr="The course’s nine requirement families" title="" id="132" name="Picture"/>
            <a:graphic>
              <a:graphicData uri="http://schemas.openxmlformats.org/drawingml/2006/picture">
                <pic:pic>
                  <pic:nvPicPr>
                    <pic:cNvPr descr="h13-11-gereksinim-aileleri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48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Family</w:t>
            </w:r>
          </w:p>
        </w:tc>
        <w:tc>
          <w:tcPr/>
          <w:p>
            <w:pPr>
              <w:pStyle w:val="Compact"/>
            </w:pPr>
            <w:r>
              <w:t xml:space="preserve">Topic</w:t>
            </w:r>
          </w:p>
        </w:tc>
        <w:tc>
          <w:tcPr/>
          <w:p>
            <w:pPr>
              <w:pStyle w:val="Compact"/>
            </w:pPr>
            <w:r>
              <w:t xml:space="preserve">Example requirements (summary)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CEN429-AP</w:t>
            </w:r>
          </w:p>
        </w:tc>
        <w:tc>
          <w:tcPr/>
          <w:p>
            <w:pPr>
              <w:pStyle w:val="Compact"/>
            </w:pPr>
            <w:r>
              <w:t xml:space="preserve">Application protection</w:t>
            </w:r>
          </w:p>
        </w:tc>
        <w:tc>
          <w:tcPr/>
          <w:p>
            <w:pPr>
              <w:pStyle w:val="Compact"/>
            </w:pPr>
            <w:r>
              <w:t xml:space="preserve">AP-01 the release build must be produced with compiler protections enabled · AP-02 sensitive code sections must be obfuscated · AP-03 the release must contain no debug logging · AP-04 the application must check its own integrity at runtime · AP-05 a defined response must be given when a debugger or hook is detected · AP-06 version rollback must be rejected · AP-07 installation and update must be done securely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CEN429-ID</w:t>
            </w:r>
          </w:p>
        </w:tc>
        <w:tc>
          <w:tcPr/>
          <w:p>
            <w:pPr>
              <w:pStyle w:val="Compact"/>
            </w:pPr>
            <w:r>
              <w:t xml:space="preserve">Authentication and binding</w:t>
            </w:r>
          </w:p>
        </w:tc>
        <w:tc>
          <w:tcPr/>
          <w:p>
            <w:pPr>
              <w:pStyle w:val="Compact"/>
            </w:pPr>
            <w:r>
              <w:t xml:space="preserve">ID-01 every party the application authenticates must be listed · ID-02 mutual authentication with the server must be performed · ID-03 sensitive data must be bound to the device and the version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CEN429-AS</w:t>
            </w:r>
          </w:p>
        </w:tc>
        <w:tc>
          <w:tcPr/>
          <w:p>
            <w:pPr>
              <w:pStyle w:val="Compact"/>
            </w:pPr>
            <w:r>
              <w:t xml:space="preserve">Asset protection</w:t>
            </w:r>
          </w:p>
        </w:tc>
        <w:tc>
          <w:tcPr/>
          <w:p>
            <w:pPr>
              <w:pStyle w:val="Compact"/>
            </w:pPr>
            <w:r>
              <w:t xml:space="preserve">AS-01 the location, lifecycle, and C/I/I+ class of every asset must be defined · AS-02 compromising a single copy must not affect other copies (no shared static key) · AS-03 sensitive constants must be protected against static analysis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CEN429-DR</w:t>
            </w:r>
          </w:p>
        </w:tc>
        <w:tc>
          <w:tcPr/>
          <w:p>
            <w:pPr>
              <w:pStyle w:val="Compact"/>
            </w:pPr>
            <w:r>
              <w:t xml:space="preserve">Data at rest</w:t>
            </w:r>
          </w:p>
        </w:tc>
        <w:tc>
          <w:tcPr/>
          <w:p>
            <w:pPr>
              <w:pStyle w:val="Compact"/>
            </w:pPr>
            <w:r>
              <w:t xml:space="preserve">DR-01 sensitive data must be encrypted with AEAD · DR-02 data must be securely erased once no longer needed and upon compromise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CEN429-DU</w:t>
            </w:r>
          </w:p>
        </w:tc>
        <w:tc>
          <w:tcPr/>
          <w:p>
            <w:pPr>
              <w:pStyle w:val="Compact"/>
            </w:pPr>
            <w:r>
              <w:t xml:space="preserve">Data in use</w:t>
            </w:r>
          </w:p>
        </w:tc>
        <w:tc>
          <w:tcPr/>
          <w:p>
            <w:pPr>
              <w:pStyle w:val="Compact"/>
            </w:pPr>
            <w:r>
              <w:t xml:space="preserve">DU-01 sensitive data must be kept in the clear only for the duration of the operation · DU-02 session data must be erased from memory immediately after use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CEN429-DT</w:t>
            </w:r>
          </w:p>
        </w:tc>
        <w:tc>
          <w:tcPr/>
          <w:p>
            <w:pPr>
              <w:pStyle w:val="Compact"/>
            </w:pPr>
            <w:r>
              <w:t xml:space="preserve">Data in transit</w:t>
            </w:r>
          </w:p>
        </w:tc>
        <w:tc>
          <w:tcPr/>
          <w:p>
            <w:pPr>
              <w:pStyle w:val="Compact"/>
            </w:pPr>
            <w:r>
              <w:t xml:space="preserve">DT-01 transport must use at least TLS 1.2, with certificate and hostname validation · DT-02 data must pass only through defined interfaces · DT-03 sensitive data must be protected at the message level in addition to TLS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CEN429-RP</w:t>
            </w:r>
          </w:p>
        </w:tc>
        <w:tc>
          <w:tcPr/>
          <w:p>
            <w:pPr>
              <w:pStyle w:val="Compact"/>
            </w:pPr>
            <w:r>
              <w:t xml:space="preserve">Reporting</w:t>
            </w:r>
          </w:p>
        </w:tc>
        <w:tc>
          <w:tcPr/>
          <w:p>
            <w:pPr>
              <w:pStyle w:val="Compact"/>
            </w:pPr>
            <w:r>
              <w:t xml:space="preserve">RP-01 sensitive data must not be written to logs in the clear · RP-02 error codes must not give information that helps an attacker · RP-03 the application must not run in debug or test mode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CEN429-CR</w:t>
            </w:r>
          </w:p>
        </w:tc>
        <w:tc>
          <w:tcPr/>
          <w:p>
            <w:pPr>
              <w:pStyle w:val="Compact"/>
            </w:pPr>
            <w:r>
              <w:t xml:space="preserve">Crypto and keys</w:t>
            </w:r>
          </w:p>
        </w:tc>
        <w:tc>
          <w:tcPr/>
          <w:p>
            <w:pPr>
              <w:pStyle w:val="Compact"/>
            </w:pPr>
            <w:r>
              <w:t xml:space="preserve">CR-01 only standard algorithms with a secure configuration must be used · CR-02 every key’s hierarchy, purpose, and cryptoperiod must be defined · CR-03 keys must be erased once their job is done · CR-04 random numbers must come from a source with sufficient entropy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CEN429-DV</w:t>
            </w:r>
          </w:p>
        </w:tc>
        <w:tc>
          <w:tcPr/>
          <w:p>
            <w:pPr>
              <w:pStyle w:val="Compact"/>
            </w:pPr>
            <w:r>
              <w:t xml:space="preserve">Development process</w:t>
            </w:r>
          </w:p>
        </w:tc>
        <w:tc>
          <w:tcPr/>
          <w:p>
            <w:pPr>
              <w:pStyle w:val="Compact"/>
            </w:pPr>
            <w:r>
              <w:t xml:space="preserve">DV-01 source code must be kept in version control, with protected branches · DV-02 every change must be reviewed · DV-03 every release must be uniquely identified · DV-04 dependencies must be tracked with an SBOM · DV-05 security tests must be run in continuous integration</w:t>
            </w:r>
          </w:p>
        </w:tc>
      </w:tr>
    </w:tbl>
    <w:p>
      <w:pPr>
        <w:pStyle w:val="BlockText"/>
      </w:pPr>
      <w:r>
        <w:rPr>
          <w:b/>
          <w:bCs/>
        </w:rPr>
        <w:t xml:space="preserve">Compliance matrix activity (25 minutes, teams)</w:t>
      </w:r>
    </w:p>
    <w:p>
      <w:pPr>
        <w:pStyle w:val="Compact"/>
        <w:numPr>
          <w:ilvl w:val="0"/>
          <w:numId w:val="1032"/>
        </w:numPr>
      </w:pPr>
      <w:r>
        <w:t xml:space="preserve">From the families above, choose at least</w:t>
      </w:r>
      <w:r>
        <w:t xml:space="preserve"> </w:t>
      </w:r>
      <w:r>
        <w:rPr>
          <w:b/>
          <w:bCs/>
        </w:rPr>
        <w:t xml:space="preserve">15</w:t>
      </w:r>
      <w:r>
        <w:t xml:space="preserve"> </w:t>
      </w:r>
      <w:r>
        <w:t xml:space="preserve">requirements that apply to your project; mark the ones</w:t>
      </w:r>
      <w:r>
        <w:t xml:space="preserve"> </w:t>
      </w:r>
      <w:r>
        <w:t xml:space="preserve">that don’t apply, with their rationale.</w:t>
      </w:r>
    </w:p>
    <w:p>
      <w:pPr>
        <w:pStyle w:val="Compact"/>
        <w:numPr>
          <w:ilvl w:val="0"/>
          <w:numId w:val="1032"/>
        </w:numPr>
      </w:pPr>
      <w:r>
        <w:t xml:space="preserve">For each one, write the status (met / deferred / not met), the guide section, and the verification method.</w:t>
      </w:r>
    </w:p>
    <w:p>
      <w:pPr>
        <w:pStyle w:val="Compact"/>
        <w:numPr>
          <w:ilvl w:val="0"/>
          <w:numId w:val="1032"/>
        </w:numPr>
      </w:pPr>
      <w:r>
        <w:t xml:space="preserve">For every row you call</w:t>
      </w:r>
      <w:r>
        <w:t xml:space="preserve"> </w:t>
      </w:r>
      <w:r>
        <w:t xml:space="preserve">“met,”</w:t>
      </w:r>
      <w:r>
        <w:t xml:space="preserve"> </w:t>
      </w:r>
      <w:r>
        <w:t xml:space="preserve">show</w:t>
      </w:r>
      <w:r>
        <w:t xml:space="preserve"> </w:t>
      </w:r>
      <w:r>
        <w:rPr>
          <w:b/>
          <w:bCs/>
        </w:rPr>
        <w:t xml:space="preserve">where</w:t>
      </w:r>
      <w:r>
        <w:t xml:space="preserve"> </w:t>
      </w:r>
      <w:r>
        <w:t xml:space="preserve">the evidence is</w:t>
      </w:r>
      <w:r>
        <w:t xml:space="preserve"> </w:t>
      </w:r>
      <w:r>
        <w:rPr>
          <w:b/>
          <w:bCs/>
        </w:rPr>
        <w:t xml:space="preserve">right now</w:t>
      </w:r>
      <w:r>
        <w:t xml:space="preserve">. Change the status of any row</w:t>
      </w:r>
      <w:r>
        <w:t xml:space="preserve"> </w:t>
      </w:r>
      <w:r>
        <w:t xml:space="preserve">you cannot show it for.</w:t>
      </w:r>
    </w:p>
    <w:p>
      <w:pPr>
        <w:pStyle w:val="Compact"/>
        <w:numPr>
          <w:ilvl w:val="0"/>
          <w:numId w:val="1032"/>
        </w:numPr>
      </w:pPr>
      <w:r>
        <w:t xml:space="preserve">Have two teams swap matrices and have each question three of the other’s rows</w:t>
      </w:r>
      <w:r>
        <w:t xml:space="preserve"> </w:t>
      </w:r>
      <w:r>
        <w:t xml:space="preserve">“like an evaluator.”</w:t>
      </w:r>
    </w:p>
    <w:bookmarkStart w:id="134" w:name="X4565fed78e4efd5696d394fecde41138cbed7ca"/>
    <w:p>
      <w:pPr>
        <w:pStyle w:val="Heading3"/>
      </w:pPr>
      <w:r>
        <w:t xml:space="preserve">Worked example: filling in a compliance-matrix row from start to finish, mistakes and all</w:t>
      </w:r>
    </w:p>
    <w:p>
      <w:pPr>
        <w:pStyle w:val="FirstParagraph"/>
      </w:pPr>
      <w:r>
        <w:t xml:space="preserve">Let’s follow how a team filled in its matrix row for</w:t>
      </w:r>
      <w:r>
        <w:t xml:space="preserve"> </w:t>
      </w:r>
      <w:r>
        <w:rPr>
          <w:rStyle w:val="VerbatimChar"/>
        </w:rPr>
        <w:t xml:space="preserve">CEN429-AP-04</w:t>
      </w:r>
      <w:r>
        <w:t xml:space="preserve"> </w:t>
      </w:r>
      <w:r>
        <w:t xml:space="preserve">(</w:t>
      </w:r>
      <w:r>
        <w:t xml:space="preserve">“the application must check its own</w:t>
      </w:r>
      <w:r>
        <w:t xml:space="preserve"> </w:t>
      </w:r>
      <w:r>
        <w:t xml:space="preserve">integrity at runtime”</w:t>
      </w:r>
      <w:r>
        <w:t xml:space="preserve">), from the</w:t>
      </w:r>
      <w:r>
        <w:t xml:space="preserve"> </w:t>
      </w:r>
      <w:r>
        <w:rPr>
          <w:b/>
          <w:bCs/>
        </w:rPr>
        <w:t xml:space="preserve">first draft</w:t>
      </w:r>
      <w:r>
        <w:t xml:space="preserve"> </w:t>
      </w:r>
      <w:r>
        <w:t xml:space="preserve">to the corrected version; this is Section 1’s</w:t>
      </w:r>
      <w:r>
        <w:t xml:space="preserve"> </w:t>
      </w:r>
      <w:r>
        <w:t xml:space="preserve">“bad to good”</w:t>
      </w:r>
      <w:r>
        <w:t xml:space="preserve"> </w:t>
      </w:r>
      <w:r>
        <w:t xml:space="preserve">idea</w:t>
      </w:r>
      <w:r>
        <w:t xml:space="preserve"> </w:t>
      </w:r>
      <w:r>
        <w:t xml:space="preserve">applied to a compliance-matrix row.</w:t>
      </w:r>
    </w:p>
    <w:p>
      <w:pPr>
        <w:pStyle w:val="BodyText"/>
      </w:pPr>
      <w:r>
        <w:rPr>
          <w:b/>
          <w:bCs/>
        </w:rPr>
        <w:t xml:space="preserve">First draft (inadequate):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Requirement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Verification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CEN429-AP-04</w:t>
            </w:r>
          </w:p>
        </w:tc>
        <w:tc>
          <w:tcPr/>
          <w:p>
            <w:pPr>
              <w:pStyle w:val="Compact"/>
            </w:pPr>
            <w:r>
              <w:t xml:space="preserve">The application must check its own integrity at runtime</w:t>
            </w:r>
          </w:p>
        </w:tc>
        <w:tc>
          <w:tcPr/>
          <w:p>
            <w:pPr>
              <w:pStyle w:val="Compact"/>
            </w:pPr>
            <w:r>
              <w:t xml:space="preserve">Met</w:t>
            </w:r>
          </w:p>
        </w:tc>
        <w:tc>
          <w:tcPr/>
          <w:p>
            <w:pPr>
              <w:pStyle w:val="Compact"/>
            </w:pPr>
            <w:r>
              <w:t xml:space="preserve">There’s an integrity check</w:t>
            </w:r>
          </w:p>
        </w:tc>
        <w:tc>
          <w:tcPr/>
          <w:p>
            <w:pPr>
              <w:pStyle w:val="Compact"/>
            </w:pPr>
            <w:r>
              <w:t xml:space="preserve">Tested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This row has three problems: (1)</w:t>
      </w:r>
      <w:r>
        <w:t xml:space="preserve"> </w:t>
      </w:r>
      <w:r>
        <w:t xml:space="preserve">“There’s an integrity check”</w:t>
      </w:r>
      <w:r>
        <w:t xml:space="preserve"> </w:t>
      </w:r>
      <w:r>
        <w:t xml:space="preserve">is not a description of a control, it’s a</w:t>
      </w:r>
      <w:r>
        <w:t xml:space="preserve"> </w:t>
      </w:r>
      <w:r>
        <w:rPr>
          <w:b/>
          <w:bCs/>
        </w:rPr>
        <w:t xml:space="preserve">restatement of the requirement</w:t>
      </w:r>
      <w:r>
        <w:t xml:space="preserve">; which mechanism (a checksum? a signature check? debugger detection?) is not</w:t>
      </w:r>
      <w:r>
        <w:t xml:space="preserve"> </w:t>
      </w:r>
      <w:r>
        <w:t xml:space="preserve">stated. (2)</w:t>
      </w:r>
      <w:r>
        <w:t xml:space="preserve"> </w:t>
      </w:r>
      <w:r>
        <w:t xml:space="preserve">“Tested”</w:t>
      </w:r>
      <w:r>
        <w:t xml:space="preserve"> </w:t>
      </w:r>
      <w:r>
        <w:t xml:space="preserve">is not a verification method, it’s a</w:t>
      </w:r>
      <w:r>
        <w:t xml:space="preserve"> </w:t>
      </w:r>
      <w:r>
        <w:rPr>
          <w:b/>
          <w:bCs/>
        </w:rPr>
        <w:t xml:space="preserve">claim</w:t>
      </w:r>
      <w:r>
        <w:t xml:space="preserve"> </w:t>
      </w:r>
      <w:r>
        <w:t xml:space="preserve">that verification exists. (3) The evidence</w:t>
      </w:r>
      <w:r>
        <w:t xml:space="preserve"> </w:t>
      </w:r>
      <w:r>
        <w:t xml:space="preserve">column is</w:t>
      </w:r>
      <w:r>
        <w:t xml:space="preserve"> </w:t>
      </w:r>
      <w:r>
        <w:rPr>
          <w:b/>
          <w:bCs/>
        </w:rPr>
        <w:t xml:space="preserve">empty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fix, step by step:</w:t>
      </w:r>
    </w:p>
    <w:p>
      <w:pPr>
        <w:pStyle w:val="Compact"/>
        <w:numPr>
          <w:ilvl w:val="0"/>
          <w:numId w:val="1033"/>
        </w:numPr>
      </w:pPr>
      <w:r>
        <w:t xml:space="preserve">The team makes the control concrete: the application computes a hash of its own code section at startup and</w:t>
      </w:r>
      <w:r>
        <w:t xml:space="preserve"> </w:t>
      </w:r>
      <w:r>
        <w:t xml:space="preserve">compares it with the expected hash embedded at build time; if they don’t match, it stops running. This is</w:t>
      </w:r>
      <w:r>
        <w:t xml:space="preserve"> </w:t>
      </w:r>
      <w:r>
        <w:t xml:space="preserve">described in the guide’s S12.3 section.</w:t>
      </w:r>
    </w:p>
    <w:p>
      <w:pPr>
        <w:pStyle w:val="Compact"/>
        <w:numPr>
          <w:ilvl w:val="0"/>
          <w:numId w:val="1033"/>
        </w:numPr>
      </w:pPr>
      <w:r>
        <w:t xml:space="preserve">The verification method is clarified: a test tool changes one byte of the binary and verifies that the</w:t>
      </w:r>
      <w:r>
        <w:t xml:space="preserve"> </w:t>
      </w:r>
      <w:r>
        <w:t xml:space="preserve">application</w:t>
      </w:r>
      <w:r>
        <w:t xml:space="preserve"> </w:t>
      </w:r>
      <w:r>
        <w:rPr>
          <w:b/>
          <w:bCs/>
        </w:rPr>
        <w:t xml:space="preserve">refuses to start</w:t>
      </w:r>
      <w:r>
        <w:t xml:space="preserve">.</w:t>
      </w:r>
    </w:p>
    <w:p>
      <w:pPr>
        <w:pStyle w:val="Compact"/>
        <w:numPr>
          <w:ilvl w:val="0"/>
          <w:numId w:val="1033"/>
        </w:numPr>
      </w:pPr>
      <w:r>
        <w:t xml:space="preserve">Evidence is added: the CI job where this test runs automatically (</w:t>
      </w:r>
      <w:r>
        <w:rPr>
          <w:rStyle w:val="VerbatimChar"/>
        </w:rPr>
        <w:t xml:space="preserve">ci-integrity-check</w:t>
      </w:r>
      <w:r>
        <w:t xml:space="preserve">), its latest run</w:t>
      </w:r>
      <w:r>
        <w:t xml:space="preserve"> </w:t>
      </w:r>
      <w:r>
        <w:t xml:space="preserve">record, and the output log.</w:t>
      </w:r>
    </w:p>
    <w:p>
      <w:pPr>
        <w:pStyle w:val="FirstParagraph"/>
      </w:pPr>
      <w:r>
        <w:rPr>
          <w:b/>
          <w:bCs/>
        </w:rPr>
        <w:t xml:space="preserve">The corrected row: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Requirement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Verification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CEN429-AP-04</w:t>
            </w:r>
          </w:p>
        </w:tc>
        <w:tc>
          <w:tcPr/>
          <w:p>
            <w:pPr>
              <w:pStyle w:val="Compact"/>
            </w:pPr>
            <w:r>
              <w:t xml:space="preserve">The application must check its own integrity at runtime</w:t>
            </w:r>
          </w:p>
        </w:tc>
        <w:tc>
          <w:tcPr/>
          <w:p>
            <w:pPr>
              <w:pStyle w:val="Compact"/>
            </w:pPr>
            <w:r>
              <w:t xml:space="preserve">Met</w:t>
            </w:r>
          </w:p>
        </w:tc>
        <w:tc>
          <w:tcPr/>
          <w:p>
            <w:pPr>
              <w:pStyle w:val="Compact"/>
            </w:pPr>
            <w:r>
              <w:t xml:space="preserve">S12.3: a hash of the code section is computed at startup and compared with the embedded expected hash; execution stops on mismatch</w:t>
            </w:r>
          </w:p>
        </w:tc>
        <w:tc>
          <w:tcPr/>
          <w:p>
            <w:pPr>
              <w:pStyle w:val="Compact"/>
            </w:pPr>
            <w:r>
              <w:t xml:space="preserve">Automated test: a byte of the binary is changed and it’s verified that startup is refused</w:t>
            </w:r>
          </w:p>
        </w:tc>
        <w:tc>
          <w:tcPr/>
          <w:p>
            <w:pPr>
              <w:pStyle w:val="Compact"/>
            </w:pPr>
            <w:r>
              <w:t xml:space="preserve">CI job</w:t>
            </w:r>
            <w:r>
              <w:t xml:space="preserve"> </w:t>
            </w:r>
            <w:r>
              <w:rPr>
                <w:rStyle w:val="VerbatimChar"/>
              </w:rPr>
              <w:t xml:space="preserve">ci-integrity-check</w:t>
            </w:r>
            <w:r>
              <w:t xml:space="preserve">, run #391,</w:t>
            </w:r>
            <w:r>
              <w:t xml:space="preserve"> </w:t>
            </w:r>
            <w:r>
              <w:rPr>
                <w:rStyle w:val="VerbatimChar"/>
              </w:rPr>
              <w:t xml:space="preserve">integrity_test.log</w:t>
            </w:r>
          </w:p>
        </w:tc>
      </w:tr>
    </w:tbl>
    <w:p>
      <w:pPr>
        <w:pStyle w:val="BodyText"/>
      </w:pPr>
      <w:r>
        <w:t xml:space="preserve">The difference isn’t in the row’s</w:t>
      </w:r>
      <w:r>
        <w:t xml:space="preserve"> </w:t>
      </w:r>
      <w:r>
        <w:rPr>
          <w:b/>
          <w:bCs/>
        </w:rPr>
        <w:t xml:space="preserve">length</w:t>
      </w:r>
      <w:r>
        <w:t xml:space="preserve">, it’s in the</w:t>
      </w:r>
      <w:r>
        <w:t xml:space="preserve"> </w:t>
      </w:r>
      <w:r>
        <w:rPr>
          <w:b/>
          <w:bCs/>
        </w:rPr>
        <w:t xml:space="preserve">concreteness</w:t>
      </w:r>
      <w:r>
        <w:t xml:space="preserve"> </w:t>
      </w:r>
      <w:r>
        <w:t xml:space="preserve">of every cell. The first draft also</w:t>
      </w:r>
      <w:r>
        <w:t xml:space="preserve"> </w:t>
      </w:r>
      <w:r>
        <w:t xml:space="preserve">looked</w:t>
      </w:r>
      <w:r>
        <w:t xml:space="preserve"> </w:t>
      </w:r>
      <w:r>
        <w:t xml:space="preserve">“filled in”</w:t>
      </w:r>
      <w:r>
        <w:t xml:space="preserve">; but none of its cells could be</w:t>
      </w:r>
      <w:r>
        <w:t xml:space="preserve"> </w:t>
      </w:r>
      <w:r>
        <w:rPr>
          <w:b/>
          <w:bCs/>
        </w:rPr>
        <w:t xml:space="preserve">independently</w:t>
      </w:r>
      <w:r>
        <w:t xml:space="preserve"> </w:t>
      </w:r>
      <w:r>
        <w:t xml:space="preserve">verified.</w:t>
      </w:r>
    </w:p>
    <w:p>
      <w:pPr>
        <w:pStyle w:val="BlockText"/>
      </w:pPr>
      <w:r>
        <w:rPr>
          <w:b/>
          <w:bCs/>
        </w:rPr>
        <w:t xml:space="preserve">Common mistake: pasting the same evidence into every row</w:t>
      </w:r>
    </w:p>
    <w:p>
      <w:pPr>
        <w:pStyle w:val="BlockText"/>
      </w:pPr>
      <w:r>
        <w:t xml:space="preserve">Some teams paste a single general test report (</w:t>
      </w:r>
      <w:r>
        <w:t xml:space="preserve">“see general-test-report.pdf”</w:t>
      </w:r>
      <w:r>
        <w:t xml:space="preserve">) as evidence into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row</w:t>
      </w:r>
      <w:r>
        <w:t xml:space="preserve"> </w:t>
      </w:r>
      <w:r>
        <w:t xml:space="preserve">of the matrix. When the evaluator opens the report and can’t find a test specific to that requirement, the</w:t>
      </w:r>
      <w:r>
        <w:t xml:space="preserve"> </w:t>
      </w:r>
      <w:r>
        <w:t xml:space="preserve">credibility of the</w:t>
      </w:r>
      <w:r>
        <w:t xml:space="preserve"> </w:t>
      </w:r>
      <w:r>
        <w:rPr>
          <w:b/>
          <w:bCs/>
        </w:rPr>
        <w:t xml:space="preserve">whole matrix</w:t>
      </w:r>
      <w:r>
        <w:t xml:space="preserve"> </w:t>
      </w:r>
      <w:r>
        <w:t xml:space="preserve">is called into question — one copy-pasted piece of evidence makes the</w:t>
      </w:r>
      <w:r>
        <w:t xml:space="preserve"> </w:t>
      </w:r>
      <w:r>
        <w:t xml:space="preserve">rest of the matrix look suspicious too.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Every row’s evidence must be</w:t>
      </w:r>
      <w:r>
        <w:t xml:space="preserve"> </w:t>
      </w:r>
      <w:r>
        <w:rPr>
          <w:b/>
          <w:bCs/>
        </w:rPr>
        <w:t xml:space="preserve">specific to that row</w:t>
      </w:r>
      <w:r>
        <w:t xml:space="preserve">: a specific test name, a specific CI run number, a</w:t>
      </w:r>
      <w:r>
        <w:t xml:space="preserve"> </w:t>
      </w:r>
      <w:r>
        <w:t xml:space="preserve">specific log file. If you’re referencing a general report, also state</w:t>
      </w:r>
      <w:r>
        <w:t xml:space="preserve"> </w:t>
      </w:r>
      <w:r>
        <w:rPr>
          <w:b/>
          <w:bCs/>
        </w:rPr>
        <w:t xml:space="preserve">which section/page</w:t>
      </w:r>
      <w:r>
        <w:t xml:space="preserve"> </w:t>
      </w:r>
      <w:r>
        <w:t xml:space="preserve">of the report it</w:t>
      </w:r>
      <w:r>
        <w:t xml:space="preserve"> </w:t>
      </w:r>
      <w:r>
        <w:t xml:space="preserve">is.</w:t>
      </w:r>
    </w:p>
    <w:bookmarkEnd w:id="134"/>
    <w:bookmarkStart w:id="135" w:name="X2d73b5df93b7b20ee26d9bead594078ea77e3c5"/>
    <w:p>
      <w:pPr>
        <w:pStyle w:val="Heading3"/>
      </w:pPr>
      <w:r>
        <w:t xml:space="preserve">The logic behind the families: why nine families?</w:t>
      </w:r>
    </w:p>
    <w:p>
      <w:pPr>
        <w:pStyle w:val="FirstParagraph"/>
      </w:pPr>
      <w:r>
        <w:t xml:space="preserve">The eight families (AP, ID, AS, DR, DU, DT, RP, CR) plus the process family (DV) correspond to nine questions</w:t>
      </w:r>
      <w:r>
        <w:t xml:space="preserve"> </w:t>
      </w:r>
      <w:r>
        <w:t xml:space="preserve">that recur in real guides across the industry:</w:t>
      </w:r>
      <w:r>
        <w:t xml:space="preserve"> </w:t>
      </w:r>
      <w:r>
        <w:t xml:space="preserve">“How does the application protect itself (AP)? Who does it trust</w:t>
      </w:r>
      <w:r>
        <w:t xml:space="preserve"> </w:t>
      </w:r>
      <w:r>
        <w:t xml:space="preserve">(ID)? What does it protect (AS)? Where does that protected thing sit — on disk (DR), in memory (DU), or on the</w:t>
      </w:r>
      <w:r>
        <w:t xml:space="preserve"> </w:t>
      </w:r>
      <w:r>
        <w:t xml:space="preserve">network (DT)? What does it say/not say if something goes wrong (RP)? Which cryptographic tools does it do all</w:t>
      </w:r>
      <w:r>
        <w:t xml:space="preserve"> </w:t>
      </w:r>
      <w:r>
        <w:t xml:space="preserve">this with (CR)? And how does the team that produced it work (DV)?”</w:t>
      </w:r>
      <w:r>
        <w:t xml:space="preserve"> </w:t>
      </w:r>
      <w:r>
        <w:t xml:space="preserve">These nine questions overlap almost one-to-one</w:t>
      </w:r>
      <w:r>
        <w:t xml:space="preserve"> </w:t>
      </w:r>
      <w:r>
        <w:t xml:space="preserve">with the section headings in EMVCo’s software-based mobile payment document (as seen in Section 6), because</w:t>
      </w:r>
      <w:r>
        <w:t xml:space="preserve"> </w:t>
      </w:r>
      <w:r>
        <w:t xml:space="preserve">nearly every security guide in the industry asks the same nine questions in a different order.</w:t>
      </w:r>
    </w:p>
    <w:bookmarkEnd w:id="135"/>
    <w:bookmarkStart w:id="136" w:name="Xb3d36d786696a0b4b57bbeac6b34a424f826310"/>
    <w:p>
      <w:pPr>
        <w:pStyle w:val="Heading3"/>
      </w:pPr>
      <w:r>
        <w:t xml:space="preserve">A common mistake when choosing a family: writing to the wrong one</w:t>
      </w:r>
    </w:p>
    <w:p>
      <w:pPr>
        <w:pStyle w:val="FirstParagraph"/>
      </w:pPr>
      <w:r>
        <w:t xml:space="preserve">Putting a requirement in the wrong family (e.g., writing</w:t>
      </w:r>
      <w:r>
        <w:t xml:space="preserve"> </w:t>
      </w:r>
      <w:r>
        <w:t xml:space="preserve">“the key must be erased once its job is done”</w:t>
      </w:r>
      <w:r>
        <w:t xml:space="preserve"> </w:t>
      </w:r>
      <w:r>
        <w:t xml:space="preserve">under DU</w:t>
      </w:r>
      <w:r>
        <w:t xml:space="preserve"> </w:t>
      </w:r>
      <w:r>
        <w:t xml:space="preserve">instead of CR) isn’t a big mistake, but it breaks</w:t>
      </w:r>
      <w:r>
        <w:t xml:space="preserve"> </w:t>
      </w:r>
      <w:r>
        <w:rPr>
          <w:b/>
          <w:bCs/>
        </w:rPr>
        <w:t xml:space="preserve">consistency</w:t>
      </w:r>
      <w:r>
        <w:t xml:space="preserve">: when looking for the same kind of requirements,</w:t>
      </w:r>
      <w:r>
        <w:t xml:space="preserve"> </w:t>
      </w:r>
      <w:r>
        <w:t xml:space="preserve">an evaluator checks a specific family; if the requirement sits in the wrong family, it can be missed.</w:t>
      </w:r>
    </w:p>
    <w:p>
      <w:pPr>
        <w:pStyle w:val="BlockText"/>
      </w:pPr>
      <w:r>
        <w:rPr>
          <w:b/>
          <w:bCs/>
        </w:rPr>
        <w:t xml:space="preserve">Common mistake: forcing a new requirement into one of the existing families</w:t>
      </w:r>
    </w:p>
    <w:p>
      <w:pPr>
        <w:pStyle w:val="BlockText"/>
      </w:pPr>
      <w:r>
        <w:t xml:space="preserve">A requirement may come up in your project that doesn’t fit neatly into any of the families (e.g., an</w:t>
      </w:r>
      <w:r>
        <w:t xml:space="preserve"> </w:t>
      </w:r>
      <w:r>
        <w:t xml:space="preserve">authorization rule needing multi-user support). Forcing it into CR or ID anyway breaks both the id numbering</w:t>
      </w:r>
      <w:r>
        <w:t xml:space="preserve"> </w:t>
      </w:r>
      <w:r>
        <w:t xml:space="preserve">and the matrix’s readability.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If none of the existing nine families fit, define your own short family prefix (e.g.,</w:t>
      </w:r>
      <w:r>
        <w:t xml:space="preserve"> </w:t>
      </w:r>
      <w:r>
        <w:rPr>
          <w:rStyle w:val="VerbatimChar"/>
        </w:rPr>
        <w:t xml:space="preserve">CEN429-AZ</w:t>
      </w:r>
      <w:r>
        <w:t xml:space="preserve"> </w:t>
      </w:r>
      <w:r>
        <w:t xml:space="preserve">for</w:t>
      </w:r>
      <w:r>
        <w:t xml:space="preserve"> </w:t>
      </w:r>
      <w:r>
        <w:t xml:space="preserve">authorization) and explain in one sentence in S1 what this new family covers; don’t stretch an existing</w:t>
      </w:r>
      <w:r>
        <w:t xml:space="preserve"> </w:t>
      </w:r>
      <w:r>
        <w:t xml:space="preserve">family to fit.</w:t>
      </w:r>
    </w:p>
    <w:bookmarkEnd w:id="136"/>
    <w:bookmarkStart w:id="137" w:name="Xe86a0042f789005c54ad96c889799365bd858cc"/>
    <w:p>
      <w:pPr>
        <w:pStyle w:val="Heading3"/>
      </w:pPr>
      <w:r>
        <w:t xml:space="preserve">The difference between the AS family and the DR/DU/DT families</w:t>
      </w:r>
    </w:p>
    <w:p>
      <w:pPr>
        <w:pStyle w:val="FirstParagraph"/>
      </w:pPr>
      <w:r>
        <w:t xml:space="preserve">Beginners often ask</w:t>
      </w:r>
      <w:r>
        <w:t xml:space="preserve"> </w:t>
      </w:r>
      <w:r>
        <w:t xml:space="preserve">“isn’t AS (asset protection) the same thing as DR (data at rest)?”</w:t>
      </w:r>
      <w:r>
        <w:t xml:space="preserve"> </w:t>
      </w:r>
      <w:r>
        <w:t xml:space="preserve">The difference is this:</w:t>
      </w:r>
      <w:r>
        <w:t xml:space="preserve"> </w:t>
      </w:r>
      <w:r>
        <w:rPr>
          <w:b/>
          <w:bCs/>
        </w:rPr>
        <w:t xml:space="preserve">AS</w:t>
      </w:r>
      <w:r>
        <w:t xml:space="preserve"> </w:t>
      </w:r>
      <w:r>
        <w:t xml:space="preserve">is about the asset</w:t>
      </w:r>
      <w:r>
        <w:t xml:space="preserve"> </w:t>
      </w:r>
      <w:r>
        <w:rPr>
          <w:b/>
          <w:bCs/>
        </w:rPr>
        <w:t xml:space="preserve">itself</w:t>
      </w:r>
      <w:r>
        <w:t xml:space="preserve"> </w:t>
      </w:r>
      <w:r>
        <w:t xml:space="preserve">(which asset exists, how it’s classified, what happens if a copy is</w:t>
      </w:r>
      <w:r>
        <w:t xml:space="preserve"> </w:t>
      </w:r>
      <w:r>
        <w:t xml:space="preserve">compromised);</w:t>
      </w:r>
      <w:r>
        <w:t xml:space="preserve"> </w:t>
      </w:r>
      <w:r>
        <w:rPr>
          <w:b/>
          <w:bCs/>
        </w:rPr>
        <w:t xml:space="preserve">DR/DU/DT</w:t>
      </w:r>
      <w:r>
        <w:t xml:space="preserve"> </w:t>
      </w:r>
      <w:r>
        <w:t xml:space="preserve">is about which</w:t>
      </w:r>
      <w:r>
        <w:t xml:space="preserve"> </w:t>
      </w:r>
      <w:r>
        <w:rPr>
          <w:b/>
          <w:bCs/>
        </w:rPr>
        <w:t xml:space="preserve">state</w:t>
      </w:r>
      <w:r>
        <w:t xml:space="preserve"> </w:t>
      </w:r>
      <w:r>
        <w:t xml:space="preserve">(at rest/in use/in transit) that same asset is in. The same</w:t>
      </w:r>
      <w:r>
        <w:t xml:space="preserve"> </w:t>
      </w:r>
      <w:r>
        <w:t xml:space="preserve">asset (e.g., a crypto key) can be the subject of both an AS requirement (e.g.,</w:t>
      </w:r>
      <w:r>
        <w:t xml:space="preserve"> </w:t>
      </w:r>
      <w:r>
        <w:t xml:space="preserve">“the location and lifecycle of</w:t>
      </w:r>
      <w:r>
        <w:t xml:space="preserve"> </w:t>
      </w:r>
      <w:r>
        <w:t xml:space="preserve">every key must be defined”</w:t>
      </w:r>
      <w:r>
        <w:t xml:space="preserve">) and a DU requirement (e.g.,</w:t>
      </w:r>
      <w:r>
        <w:t xml:space="preserve"> </w:t>
      </w:r>
      <w:r>
        <w:t xml:space="preserve">“session data must be erased from memory immediately</w:t>
      </w:r>
      <w:r>
        <w:t xml:space="preserve"> </w:t>
      </w:r>
      <w:r>
        <w:t xml:space="preserve">after use”</w:t>
      </w:r>
      <w:r>
        <w:t xml:space="preserve">) — one asks for the asset’s</w:t>
      </w:r>
      <w:r>
        <w:t xml:space="preserve"> </w:t>
      </w:r>
      <w:r>
        <w:rPr>
          <w:b/>
          <w:bCs/>
        </w:rPr>
        <w:t xml:space="preserve">inventory</w:t>
      </w:r>
      <w:r>
        <w:t xml:space="preserve">, the other for the asset’s state</w:t>
      </w:r>
      <w:r>
        <w:t xml:space="preserve"> </w:t>
      </w:r>
      <w:r>
        <w:rPr>
          <w:b/>
          <w:bCs/>
        </w:rPr>
        <w:t xml:space="preserve">at a given moment</w:t>
      </w:r>
      <w:r>
        <w:t xml:space="preserve">.</w:t>
      </w:r>
    </w:p>
    <w:bookmarkEnd w:id="137"/>
    <w:bookmarkStart w:id="138" w:name="X6cb88c53b80ab969f9a6ae91a7c2d07d4de2a7f"/>
    <w:p>
      <w:pPr>
        <w:pStyle w:val="Heading3"/>
      </w:pPr>
      <w:r>
        <w:t xml:space="preserve">Remembering the nine families at a glance</w:t>
      </w:r>
    </w:p>
    <w:p>
      <w:pPr>
        <w:pStyle w:val="FirstParagraph"/>
      </w:pPr>
      <w:r>
        <w:t xml:space="preserve">The order AP-ID-AS-DR-DU-DT-RP-CR-DV can be hard to remember; remembering this chain of questions can help:</w:t>
      </w:r>
      <w:r>
        <w:t xml:space="preserve"> </w:t>
      </w:r>
      <w:r>
        <w:t xml:space="preserve">“Does</w:t>
      </w:r>
      <w:r>
        <w:t xml:space="preserve"> </w:t>
      </w:r>
      <w:r>
        <w:t xml:space="preserve">it protect itself (AP)? Who does it trust (ID)? What does it protect (AS)? Where is that thing — at rest (DR), in</w:t>
      </w:r>
      <w:r>
        <w:t xml:space="preserve"> </w:t>
      </w:r>
      <w:r>
        <w:t xml:space="preserve">use (DU), in transit (DT)? What does it say if something goes wrong (RP)? With which tool (CR)? Who produced it,</w:t>
      </w:r>
      <w:r>
        <w:t xml:space="preserve"> </w:t>
      </w:r>
      <w:r>
        <w:t xml:space="preserve">and how (DV)?”</w:t>
      </w:r>
      <w:r>
        <w:t xml:space="preserve"> </w:t>
      </w:r>
      <w:r>
        <w:t xml:space="preserve">This is the</w:t>
      </w:r>
      <w:r>
        <w:t xml:space="preserve"> </w:t>
      </w:r>
      <w:r>
        <w:t xml:space="preserve">“asset → threat → control”</w:t>
      </w:r>
      <w:r>
        <w:t xml:space="preserve"> </w:t>
      </w:r>
      <w:r>
        <w:t xml:space="preserve">chain we’ve followed since Week 1, split into nine pieces.</w:t>
      </w:r>
    </w:p>
    <w:p>
      <w:r>
        <w:pict>
          <v:rect style="width:0;height:1.5pt" o:hralign="center" o:hrstd="t" o:hr="t"/>
        </w:pict>
      </w:r>
    </w:p>
    <w:bookmarkEnd w:id="138"/>
    <w:bookmarkEnd w:id="139"/>
    <w:bookmarkStart w:id="144" w:name="term-project-this-week"/>
    <w:p>
      <w:pPr>
        <w:pStyle w:val="Heading2"/>
      </w:pPr>
      <w:r>
        <w:t xml:space="preserve">9. Term project: this week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S17 — Compliance matrix:</w:t>
      </w:r>
      <w:r>
        <w:t xml:space="preserve"> </w:t>
      </w:r>
      <w:r>
        <w:t xml:space="preserve">all requirements from the course’s families that apply to your project; every</w:t>
      </w:r>
      <w:r>
        <w:t xml:space="preserve"> </w:t>
      </w:r>
      <w:r>
        <w:t xml:space="preserve">row has status, section, verification, and evidence.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S14 — Assumptions and deferred requirements:</w:t>
      </w:r>
      <w:r>
        <w:t xml:space="preserve"> </w:t>
      </w:r>
      <w:r>
        <w:t xml:space="preserve">supported platforms, out-of-scope components, user and</w:t>
      </w:r>
      <w:r>
        <w:t xml:space="preserve"> </w:t>
      </w:r>
      <w:r>
        <w:t xml:space="preserve">environment assumptions; for every deferred requirement, to whom, why, and how.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S1 — Sources:</w:t>
      </w:r>
      <w:r>
        <w:t xml:space="preserve"> </w:t>
      </w:r>
      <w:r>
        <w:t xml:space="preserve">state which standards you’re basing it on (ETSI EN 303 645, OWASP MASVS, NIST SSDF, CERT).</w:t>
      </w:r>
    </w:p>
    <w:p>
      <w:pPr>
        <w:pStyle w:val="Compact"/>
        <w:numPr>
          <w:ilvl w:val="0"/>
          <w:numId w:val="1037"/>
        </w:numPr>
      </w:pPr>
      <w:r>
        <w:t xml:space="preserve">Review your asset table (S5) against the requirements: is every asset’s lifecycle and protection class</w:t>
      </w:r>
      <w:r>
        <w:t xml:space="preserve"> </w:t>
      </w:r>
      <w:r>
        <w:t xml:space="preserve">filled in?</w:t>
      </w:r>
    </w:p>
    <w:bookmarkStart w:id="140" w:name="Xa64724b0560c169f074e8c4677e9f4426f042c4"/>
    <w:p>
      <w:pPr>
        <w:pStyle w:val="Heading3"/>
      </w:pPr>
      <w:r>
        <w:t xml:space="preserve">How to prepare this week’s deliverable in 45 minutes</w:t>
      </w:r>
    </w:p>
    <w:p>
      <w:pPr>
        <w:pStyle w:val="FirstParagraph"/>
      </w:pPr>
      <w:r>
        <w:t xml:space="preserve">S17 and S14 are the documents an evaluator opens</w:t>
      </w:r>
      <w:r>
        <w:t xml:space="preserve"> </w:t>
      </w:r>
      <w:r>
        <w:rPr>
          <w:b/>
          <w:bCs/>
        </w:rPr>
        <w:t xml:space="preserve">first</w:t>
      </w:r>
      <w:r>
        <w:t xml:space="preserve"> </w:t>
      </w:r>
      <w:r>
        <w:t xml:space="preserve">(as stated in the info box at the start of this week</w:t>
      </w:r>
      <w:r>
        <w:t xml:space="preserve"> </w:t>
      </w:r>
      <w:r>
        <w:t xml:space="preserve">too); leaving them messy creates a bad first impression even if the rest of the project is good. The suggested</w:t>
      </w:r>
      <w:r>
        <w:t xml:space="preserve"> </w:t>
      </w:r>
      <w:r>
        <w:t xml:space="preserve">order:</w:t>
      </w:r>
    </w:p>
    <w:p>
      <w:pPr>
        <w:pStyle w:val="Compact"/>
        <w:numPr>
          <w:ilvl w:val="0"/>
          <w:numId w:val="1038"/>
        </w:numPr>
      </w:pPr>
      <w:r>
        <w:t xml:space="preserve">Mark the requirements that apply to your project</w:t>
      </w:r>
      <w:r>
        <w:t xml:space="preserve"> </w:t>
      </w:r>
      <w:r>
        <w:rPr>
          <w:b/>
          <w:bCs/>
        </w:rPr>
        <w:t xml:space="preserve">from the family table in Section 8</w:t>
      </w:r>
      <w:r>
        <w:t xml:space="preserve"> </w:t>
      </w:r>
      <w:r>
        <w:t xml:space="preserve">(copy-paste, then</w:t>
      </w:r>
      <w:r>
        <w:t xml:space="preserve"> </w:t>
      </w:r>
      <w:r>
        <w:t xml:space="preserve">instead of deleting the ones that don’t apply, leave them as</w:t>
      </w:r>
      <w:r>
        <w:t xml:space="preserve"> </w:t>
      </w:r>
      <w:r>
        <w:t xml:space="preserve">“not applicable, rationale: …”</w:t>
      </w:r>
      <w:r>
        <w:t xml:space="preserve"> </w:t>
      </w:r>
      <w:r>
        <w:t xml:space="preserve">— the rule from</w:t>
      </w:r>
      <w:r>
        <w:t xml:space="preserve"> </w:t>
      </w:r>
      <w:r>
        <w:t xml:space="preserve">Section 7).</w:t>
      </w:r>
    </w:p>
    <w:p>
      <w:pPr>
        <w:pStyle w:val="Compact"/>
        <w:numPr>
          <w:ilvl w:val="0"/>
          <w:numId w:val="1038"/>
        </w:numPr>
      </w:pPr>
      <w:r>
        <w:t xml:space="preserve">Fill in the</w:t>
      </w:r>
      <w:r>
        <w:t xml:space="preserve"> </w:t>
      </w:r>
      <w:r>
        <w:rPr>
          <w:b/>
          <w:bCs/>
        </w:rPr>
        <w:t xml:space="preserve">six columns from Section 2</w:t>
      </w:r>
      <w:r>
        <w:t xml:space="preserve"> </w:t>
      </w:r>
      <w:r>
        <w:t xml:space="preserve">(id, requirement, status, control, verification, evidence) for each</w:t>
      </w:r>
      <w:r>
        <w:t xml:space="preserve"> </w:t>
      </w:r>
      <w:r>
        <w:t xml:space="preserve">one; don’t write</w:t>
      </w:r>
      <w:r>
        <w:t xml:space="preserve"> </w:t>
      </w:r>
      <w:r>
        <w:t xml:space="preserve">“met”</w:t>
      </w:r>
      <w:r>
        <w:t xml:space="preserve"> </w:t>
      </w:r>
      <w:r>
        <w:t xml:space="preserve">without filling in the evidence column.</w:t>
      </w:r>
    </w:p>
    <w:p>
      <w:pPr>
        <w:pStyle w:val="Compact"/>
        <w:numPr>
          <w:ilvl w:val="0"/>
          <w:numId w:val="1038"/>
        </w:numPr>
      </w:pPr>
      <w:r>
        <w:t xml:space="preserve">Move every row you marked</w:t>
      </w:r>
      <w:r>
        <w:t xml:space="preserve"> </w:t>
      </w:r>
      <w:r>
        <w:t xml:space="preserve">“deferred”</w:t>
      </w:r>
      <w:r>
        <w:t xml:space="preserve"> </w:t>
      </w:r>
      <w:r>
        <w:t xml:space="preserve">into S14; write the to-whom/why/how triple in</w:t>
      </w:r>
      <w:r>
        <w:t xml:space="preserve"> </w:t>
      </w:r>
      <w:r>
        <w:rPr>
          <w:b/>
          <w:bCs/>
        </w:rPr>
        <w:t xml:space="preserve">full sentences</w:t>
      </w:r>
      <w:r>
        <w:t xml:space="preserve">, like</w:t>
      </w:r>
      <w:r>
        <w:t xml:space="preserve"> </w:t>
      </w:r>
      <w:r>
        <w:t xml:space="preserve">the example in Section 3.</w:t>
      </w:r>
    </w:p>
    <w:p>
      <w:pPr>
        <w:pStyle w:val="Compact"/>
        <w:numPr>
          <w:ilvl w:val="0"/>
          <w:numId w:val="1038"/>
        </w:numPr>
      </w:pPr>
      <w:r>
        <w:t xml:space="preserve">Open your asset table (S5); find the row of the asset each requirement links to. If it can’t be linked, either</w:t>
      </w:r>
      <w:r>
        <w:t xml:space="preserve"> </w:t>
      </w:r>
      <w:r>
        <w:t xml:space="preserve">the asset is missing or the requirement doesn’t apply to this product.</w:t>
      </w:r>
    </w:p>
    <w:p>
      <w:pPr>
        <w:pStyle w:val="Compact"/>
        <w:numPr>
          <w:ilvl w:val="0"/>
          <w:numId w:val="1038"/>
        </w:numPr>
      </w:pPr>
      <w:r>
        <w:t xml:space="preserve">Write which standards you’re basing it on into S1 (sources) — see the</w:t>
      </w:r>
      <w:r>
        <w:t xml:space="preserve"> </w:t>
      </w:r>
      <w:r>
        <w:t xml:space="preserve">“how do you choose standards”</w:t>
      </w:r>
      <w:r>
        <w:t xml:space="preserve"> </w:t>
      </w:r>
      <w:r>
        <w:t xml:space="preserve">guide in</w:t>
      </w:r>
      <w:r>
        <w:t xml:space="preserve"> </w:t>
      </w:r>
      <w:r>
        <w:t xml:space="preserve">Section 6.</w:t>
      </w:r>
    </w:p>
    <w:p>
      <w:pPr>
        <w:pStyle w:val="BlockText"/>
      </w:pPr>
      <w:r>
        <w:rPr>
          <w:b/>
          <w:bCs/>
        </w:rPr>
        <w:t xml:space="preserve">Common mistake: filling in S17 the last night and never updating S5</w:t>
      </w:r>
    </w:p>
    <w:p>
      <w:pPr>
        <w:pStyle w:val="BlockText"/>
      </w:pPr>
      <w:r>
        <w:t xml:space="preserve">Teams that write the compliance matrix in a single sitting right before the deadline skip</w:t>
      </w:r>
      <w:r>
        <w:t xml:space="preserve"> </w:t>
      </w:r>
      <w:r>
        <w:rPr>
          <w:b/>
          <w:bCs/>
        </w:rPr>
        <w:t xml:space="preserve">linking</w:t>
      </w:r>
      <w:r>
        <w:t xml:space="preserve"> </w:t>
      </w:r>
      <w:r>
        <w:t xml:space="preserve">requirements to the asset table (Step 3 of Section 7). Result: the matrix looks</w:t>
      </w:r>
      <w:r>
        <w:t xml:space="preserve"> </w:t>
      </w:r>
      <w:r>
        <w:t xml:space="preserve">“done,”</w:t>
      </w:r>
      <w:r>
        <w:t xml:space="preserve"> </w:t>
      </w:r>
      <w:r>
        <w:t xml:space="preserve">but no row rests on a</w:t>
      </w:r>
      <w:r>
        <w:t xml:space="preserve"> </w:t>
      </w:r>
      <w:r>
        <w:t xml:space="preserve">real asset; the evaluator can’t establish the link the first time they question it.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Keep S5 open in every session where you update S17; whenever you add a new requirement, check whether the</w:t>
      </w:r>
      <w:r>
        <w:t xml:space="preserve"> </w:t>
      </w:r>
      <w:r>
        <w:t xml:space="preserve">corresponding asset row exists, and add it if it doesn’t.</w:t>
      </w:r>
    </w:p>
    <w:bookmarkEnd w:id="140"/>
    <w:bookmarkStart w:id="141" w:name="Xc4e1cff7ff2d7cd0cdee83b5818ad6332576ef3"/>
    <w:p>
      <w:pPr>
        <w:pStyle w:val="Heading3"/>
      </w:pPr>
      <w:r>
        <w:t xml:space="preserve">How you should organise your evidence folder</w:t>
      </w:r>
    </w:p>
    <w:p>
      <w:pPr>
        <w:pStyle w:val="FirstParagraph"/>
      </w:pPr>
      <w:r>
        <w:t xml:space="preserve">A simple folder layout is recommended so every evidence reference in the compliance matrix is</w:t>
      </w:r>
      <w:r>
        <w:t xml:space="preserve"> </w:t>
      </w:r>
      <w:r>
        <w:rPr>
          <w:b/>
          <w:bCs/>
        </w:rPr>
        <w:t xml:space="preserve">actually</w:t>
      </w:r>
      <w:r>
        <w:rPr>
          <w:b/>
          <w:bCs/>
        </w:rPr>
        <w:t xml:space="preserve"> </w:t>
      </w:r>
      <w:r>
        <w:rPr>
          <w:b/>
          <w:bCs/>
        </w:rPr>
        <w:t xml:space="preserve">findable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evidence/</w:t>
      </w:r>
      <w:r>
        <w:br/>
      </w:r>
      <w:r>
        <w:rPr>
          <w:rStyle w:val="VerbatimChar"/>
        </w:rPr>
        <w:t xml:space="preserve">  week13/</w:t>
      </w:r>
      <w:r>
        <w:br/>
      </w:r>
      <w:r>
        <w:rPr>
          <w:rStyle w:val="VerbatimChar"/>
        </w:rPr>
        <w:t xml:space="preserve">    test_butunluk_ci482.log</w:t>
      </w:r>
      <w:r>
        <w:br/>
      </w:r>
      <w:r>
        <w:rPr>
          <w:rStyle w:val="VerbatimChar"/>
        </w:rPr>
        <w:t xml:space="preserve">    mitm_test_2026-11-03.log</w:t>
      </w:r>
      <w:r>
        <w:br/>
      </w:r>
      <w:r>
        <w:rPr>
          <w:rStyle w:val="VerbatimChar"/>
        </w:rPr>
        <w:t xml:space="preserve">    handshake.pcapng</w:t>
      </w:r>
      <w:r>
        <w:br/>
      </w:r>
      <w:r>
        <w:rPr>
          <w:rStyle w:val="VerbatimChar"/>
        </w:rPr>
        <w:t xml:space="preserve">    integrity_test.log</w:t>
      </w:r>
      <w:r>
        <w:br/>
      </w:r>
      <w:r>
        <w:rPr>
          <w:rStyle w:val="VerbatimChar"/>
        </w:rPr>
        <w:t xml:space="preserve">  README.md   &lt;- lists, in one line each, which requirement every file is evidence for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README.md</w:t>
      </w:r>
      <w:r>
        <w:t xml:space="preserve"> </w:t>
      </w:r>
      <w:r>
        <w:t xml:space="preserve">file is the</w:t>
      </w:r>
      <w:r>
        <w:t xml:space="preserve"> </w:t>
      </w:r>
      <w:r>
        <w:rPr>
          <w:b/>
          <w:bCs/>
        </w:rPr>
        <w:t xml:space="preserve">mirror</w:t>
      </w:r>
      <w:r>
        <w:t xml:space="preserve"> </w:t>
      </w:r>
      <w:r>
        <w:t xml:space="preserve">of the evidence column in the compliance matrix: every row in the matrix</w:t>
      </w:r>
      <w:r>
        <w:t xml:space="preserve"> </w:t>
      </w:r>
      <w:r>
        <w:t xml:space="preserve">that says</w:t>
      </w:r>
      <w:r>
        <w:t xml:space="preserve"> </w:t>
      </w:r>
      <w:r>
        <w:t xml:space="preserve">“evidence: file X”</w:t>
      </w:r>
      <w:r>
        <w:t xml:space="preserve"> </w:t>
      </w:r>
      <w:r>
        <w:t xml:space="preserve">must actually be findable in this folder. If the folder is empty or the file is</w:t>
      </w:r>
      <w:r>
        <w:t xml:space="preserve"> </w:t>
      </w:r>
      <w:r>
        <w:t xml:space="preserve">missing, the matrix is considered to have no evidence — just as described in the rule in Section 2.</w:t>
      </w:r>
    </w:p>
    <w:bookmarkEnd w:id="141"/>
    <w:bookmarkStart w:id="142" w:name="X29b23a911213f9b6d5b819b7c7ef3d8241e9445"/>
    <w:p>
      <w:pPr>
        <w:pStyle w:val="Heading3"/>
      </w:pPr>
      <w:r>
        <w:t xml:space="preserve">If you’re short on time: the priority order</w:t>
      </w:r>
    </w:p>
    <w:p>
      <w:pPr>
        <w:pStyle w:val="FirstParagraph"/>
      </w:pPr>
      <w:r>
        <w:t xml:space="preserve">There’s a lot to deliver this week; if time is limited, proceed in this order (the order that earns the most</w:t>
      </w:r>
      <w:r>
        <w:t xml:space="preserve"> </w:t>
      </w:r>
      <w:r>
        <w:t xml:space="preserve">points for the least time):</w:t>
      </w:r>
    </w:p>
    <w:p>
      <w:pPr>
        <w:pStyle w:val="Compact"/>
        <w:numPr>
          <w:ilvl w:val="0"/>
          <w:numId w:val="1039"/>
        </w:numPr>
      </w:pPr>
      <w:r>
        <w:t xml:space="preserve">First, produce an S17 skeleton with</w:t>
      </w:r>
      <w:r>
        <w:t xml:space="preserve"> </w:t>
      </w:r>
      <w:r>
        <w:rPr>
          <w:b/>
          <w:bCs/>
        </w:rPr>
        <w:t xml:space="preserve">at least 15 requirements</w:t>
      </w:r>
      <w:r>
        <w:t xml:space="preserve"> </w:t>
      </w:r>
      <w:r>
        <w:t xml:space="preserve">(id + requirement + status columns filled</w:t>
      </w:r>
      <w:r>
        <w:t xml:space="preserve"> </w:t>
      </w:r>
      <w:r>
        <w:t xml:space="preserve">in, control/verification/evidence can be blank) — this is far better than an empty S17.</w:t>
      </w:r>
    </w:p>
    <w:p>
      <w:pPr>
        <w:pStyle w:val="Compact"/>
        <w:numPr>
          <w:ilvl w:val="0"/>
          <w:numId w:val="1039"/>
        </w:numPr>
      </w:pPr>
      <w:r>
        <w:t xml:space="preserve">Then, complete the rows you called</w:t>
      </w:r>
      <w:r>
        <w:t xml:space="preserve"> </w:t>
      </w:r>
      <w:r>
        <w:t xml:space="preserve">“met”</w:t>
      </w:r>
      <w:r>
        <w:t xml:space="preserve"> </w:t>
      </w:r>
      <w:r>
        <w:t xml:space="preserve">for which you actually</w:t>
      </w:r>
      <w:r>
        <w:t xml:space="preserve"> </w:t>
      </w:r>
      <w:r>
        <w:rPr>
          <w:b/>
          <w:bCs/>
        </w:rPr>
        <w:t xml:space="preserve">have</w:t>
      </w:r>
      <w:r>
        <w:t xml:space="preserve"> </w:t>
      </w:r>
      <w:r>
        <w:t xml:space="preserve">the evidence; honestly turn the ones</w:t>
      </w:r>
      <w:r>
        <w:t xml:space="preserve"> </w:t>
      </w:r>
      <w:r>
        <w:t xml:space="preserve">without evidence into</w:t>
      </w:r>
      <w:r>
        <w:t xml:space="preserve"> </w:t>
      </w:r>
      <w:r>
        <w:t xml:space="preserve">“not met.”</w:t>
      </w:r>
    </w:p>
    <w:p>
      <w:pPr>
        <w:pStyle w:val="Compact"/>
        <w:numPr>
          <w:ilvl w:val="0"/>
          <w:numId w:val="1039"/>
        </w:numPr>
      </w:pPr>
      <w:r>
        <w:t xml:space="preserve">Then, move the deferred rows to S14.</w:t>
      </w:r>
    </w:p>
    <w:p>
      <w:pPr>
        <w:pStyle w:val="Compact"/>
        <w:numPr>
          <w:ilvl w:val="0"/>
          <w:numId w:val="1039"/>
        </w:numPr>
      </w:pPr>
      <w:r>
        <w:t xml:space="preserve">Finally, fill in the control/verification columns of the remaining rows.</w:t>
      </w:r>
    </w:p>
    <w:p>
      <w:pPr>
        <w:pStyle w:val="FirstParagraph"/>
      </w:pPr>
      <w:r>
        <w:t xml:space="preserve">This order rests on the principle that a</w:t>
      </w:r>
      <w:r>
        <w:t xml:space="preserve"> </w:t>
      </w:r>
      <w:r>
        <w:t xml:space="preserve">“small but honest”</w:t>
      </w:r>
      <w:r>
        <w:t xml:space="preserve"> </w:t>
      </w:r>
      <w:r>
        <w:t xml:space="preserve">matrix always scores better than a</w:t>
      </w:r>
      <w:r>
        <w:t xml:space="preserve"> </w:t>
      </w:r>
      <w:r>
        <w:t xml:space="preserve">“large but</w:t>
      </w:r>
      <w:r>
        <w:t xml:space="preserve"> </w:t>
      </w:r>
      <w:r>
        <w:t xml:space="preserve">evidence-free”</w:t>
      </w:r>
      <w:r>
        <w:t xml:space="preserve"> </w:t>
      </w:r>
      <w:r>
        <w:t xml:space="preserve">one (see the evidence rules in Sections 2 and 8).</w:t>
      </w:r>
    </w:p>
    <w:bookmarkEnd w:id="142"/>
    <w:bookmarkStart w:id="143" w:name="why-you-shouldnt-rush-this-week"/>
    <w:p>
      <w:pPr>
        <w:pStyle w:val="Heading3"/>
      </w:pPr>
      <w:r>
        <w:t xml:space="preserve">Why you shouldn’t rush this week</w:t>
      </w:r>
    </w:p>
    <w:p>
      <w:pPr>
        <w:pStyle w:val="FirstParagraph"/>
      </w:pPr>
      <w:r>
        <w:t xml:space="preserve">S17 and S14 should become a document that grows a little</w:t>
      </w:r>
      <w:r>
        <w:t xml:space="preserve"> </w:t>
      </w:r>
      <w:r>
        <w:rPr>
          <w:b/>
          <w:bCs/>
        </w:rPr>
        <w:t xml:space="preserve">every week</w:t>
      </w:r>
      <w:r>
        <w:t xml:space="preserve">, not just in the last week of the term</w:t>
      </w:r>
      <w:r>
        <w:t xml:space="preserve"> </w:t>
      </w:r>
      <w:r>
        <w:t xml:space="preserve">project. If you note, throughout the term, which requirement each new control you add (in the</w:t>
      </w:r>
      <w:r>
        <w:t xml:space="preserve"> </w:t>
      </w:r>
      <w:r>
        <w:t xml:space="preserve">“this week’s</w:t>
      </w:r>
      <w:r>
        <w:t xml:space="preserve"> </w:t>
      </w:r>
      <w:r>
        <w:t xml:space="preserve">project step”</w:t>
      </w:r>
      <w:r>
        <w:t xml:space="preserve"> </w:t>
      </w:r>
      <w:r>
        <w:t xml:space="preserve">sections) satisfies, then by the time you reach this week S17 will already be</w:t>
      </w:r>
      <w:r>
        <w:t xml:space="preserve"> </w:t>
      </w:r>
      <w:r>
        <w:rPr>
          <w:b/>
          <w:bCs/>
        </w:rPr>
        <w:t xml:space="preserve">half full</w:t>
      </w:r>
      <w:r>
        <w:t xml:space="preserve">. This</w:t>
      </w:r>
      <w:r>
        <w:t xml:space="preserve"> </w:t>
      </w:r>
      <w:r>
        <w:t xml:space="preserve">week’s real work then becomes only completing the missing rows and checking consistency.</w:t>
      </w:r>
    </w:p>
    <w:p>
      <w:r>
        <w:pict>
          <v:rect style="width:0;height:1.5pt" o:hralign="center" o:hrstd="t" o:hr="t"/>
        </w:pict>
      </w:r>
    </w:p>
    <w:bookmarkEnd w:id="143"/>
    <w:bookmarkEnd w:id="144"/>
    <w:bookmarkStart w:id="148" w:name="work-on-your-own"/>
    <w:p>
      <w:pPr>
        <w:pStyle w:val="Heading2"/>
      </w:pPr>
      <w:r>
        <w:t xml:space="preserve">10. Work on your own</w:t>
      </w:r>
    </w:p>
    <w:p>
      <w:pPr>
        <w:pStyle w:val="BlockText"/>
      </w:pPr>
      <w:r>
        <w:rPr>
          <w:b/>
          <w:bCs/>
        </w:rPr>
        <w:t xml:space="preserve">Exercise 1 — Easy: fix the requirement</w:t>
      </w:r>
    </w:p>
    <w:p>
      <w:pPr>
        <w:pStyle w:val="BlockText"/>
      </w:pPr>
      <w:r>
        <w:t xml:space="preserve">Rewrite these requirements to meet the criteria of a</w:t>
      </w:r>
      <w:r>
        <w:t xml:space="preserve"> </w:t>
      </w:r>
      <w:r>
        <w:t xml:space="preserve">“good requirement”</w:t>
      </w:r>
      <w:r>
        <w:t xml:space="preserve">:</w:t>
      </w:r>
      <w:r>
        <w:t xml:space="preserve"> </w:t>
      </w:r>
      <w:r>
        <w:t xml:space="preserve">“The system must be resilient to</w:t>
      </w:r>
      <w:r>
        <w:t xml:space="preserve"> </w:t>
      </w:r>
      <w:r>
        <w:t xml:space="preserve">attacks,”</w:t>
      </w:r>
      <w:r>
        <w:t xml:space="preserve"> </w:t>
      </w:r>
      <w:r>
        <w:t xml:space="preserve">“Passwords must be stored securely,”</w:t>
      </w:r>
      <w:r>
        <w:t xml:space="preserve"> </w:t>
      </w:r>
      <w:r>
        <w:t xml:space="preserve">“The application must be fast and secure.”</w:t>
      </w:r>
    </w:p>
    <w:p>
      <w:pPr>
        <w:pStyle w:val="BlockText"/>
      </w:pPr>
      <w:r>
        <w:rPr>
          <w:b/>
          <w:bCs/>
        </w:rPr>
        <w:t xml:space="preserve">Exercise 2 — Easy: ETSI mapping</w:t>
      </w:r>
    </w:p>
    <w:p>
      <w:pPr>
        <w:pStyle w:val="BlockText"/>
      </w:pPr>
      <w:r>
        <w:t xml:space="preserve">Choose the ones among ETSI EN 303 645’s thirteen provisions that apply to your project, and write which</w:t>
      </w:r>
      <w:r>
        <w:t xml:space="preserve"> </w:t>
      </w:r>
      <w:r>
        <w:t xml:space="preserve">control in your project corresponds to each one.</w:t>
      </w:r>
    </w:p>
    <w:p>
      <w:pPr>
        <w:pStyle w:val="BlockText"/>
      </w:pPr>
      <w:r>
        <w:rPr>
          <w:b/>
          <w:bCs/>
        </w:rPr>
        <w:t xml:space="preserve">Exercise 3 — Medium: deferred requirements</w:t>
      </w:r>
    </w:p>
    <w:p>
      <w:pPr>
        <w:pStyle w:val="BlockText"/>
      </w:pPr>
      <w:r>
        <w:t xml:space="preserve">Think of your project as a library embedded inside another application. Which requirements would you need to</w:t>
      </w:r>
      <w:r>
        <w:t xml:space="preserve"> </w:t>
      </w:r>
      <w:r>
        <w:t xml:space="preserve">defer to the parent application? Prepare a one-paragraph instruction for the parent-application developer for</w:t>
      </w:r>
      <w:r>
        <w:t xml:space="preserve"> </w:t>
      </w:r>
      <w:r>
        <w:t xml:space="preserve">each one.</w:t>
      </w:r>
    </w:p>
    <w:p>
      <w:pPr>
        <w:pStyle w:val="BlockText"/>
      </w:pPr>
      <w:r>
        <w:rPr>
          <w:b/>
          <w:bCs/>
        </w:rPr>
        <w:t xml:space="preserve">Exercise 4 — Medium: a security-target skeleton</w:t>
      </w:r>
    </w:p>
    <w:p>
      <w:pPr>
        <w:pStyle w:val="BlockText"/>
      </w:pPr>
      <w:r>
        <w:t xml:space="preserve">Produce a Common Criteria security target (ST) skeleton for your project: the TOE definition, assumptions,</w:t>
      </w:r>
      <w:r>
        <w:t xml:space="preserve"> </w:t>
      </w:r>
      <w:r>
        <w:t xml:space="preserve">threats, security objectives, and the corresponding requirements. Which sections of your security guide</w:t>
      </w:r>
      <w:r>
        <w:t xml:space="preserve"> </w:t>
      </w:r>
      <w:r>
        <w:t xml:space="preserve">correspond to which ST section?</w:t>
      </w:r>
    </w:p>
    <w:p>
      <w:pPr>
        <w:pStyle w:val="BlockText"/>
      </w:pPr>
      <w:r>
        <w:rPr>
          <w:b/>
          <w:bCs/>
        </w:rPr>
        <w:t xml:space="preserve">Exercise 5 — Hard: FIPS 140-3 gap analysis</w:t>
      </w:r>
    </w:p>
    <w:p>
      <w:pPr>
        <w:pStyle w:val="BlockText"/>
      </w:pPr>
      <w:r>
        <w:t xml:space="preserve">Examine your project’s crypto code against FIPS 140-3’s expectations of</w:t>
      </w:r>
      <w:r>
        <w:t xml:space="preserve"> </w:t>
      </w:r>
      <w:r>
        <w:t xml:space="preserve">“approved algorithm, self-test, role</w:t>
      </w:r>
      <w:r>
        <w:t xml:space="preserve"> </w:t>
      </w:r>
      <w:r>
        <w:t xml:space="preserve">and service, zeroization.”</w:t>
      </w:r>
      <w:r>
        <w:t xml:space="preserve"> </w:t>
      </w:r>
      <w:r>
        <w:t xml:space="preserve">If your project were a cryptographic module, what would be missing for Level 1?</w:t>
      </w:r>
    </w:p>
    <w:bookmarkStart w:id="145" w:name="X92ce8ea283cd72fe110dfde9605093c27f07325"/>
    <w:p>
      <w:pPr>
        <w:pStyle w:val="Heading3"/>
      </w:pPr>
      <w:r>
        <w:t xml:space="preserve">Why you should solve these exercises on your own</w:t>
      </w:r>
    </w:p>
    <w:p>
      <w:pPr>
        <w:pStyle w:val="FirstParagraph"/>
      </w:pPr>
      <w:r>
        <w:t xml:space="preserve">The worked examples you saw in the sections above (bad→good requirement, the end-to-end traceability chain, the</w:t>
      </w:r>
      <w:r>
        <w:t xml:space="preserve"> </w:t>
      </w:r>
      <w:r>
        <w:t xml:space="preserve">ST skeleton, the FIPS audit, the cross-standard mapping, the compliance-matrix row) were all explained through</w:t>
      </w:r>
      <w:r>
        <w:t xml:space="preserve"> </w:t>
      </w:r>
      <w:r>
        <w:rPr>
          <w:b/>
          <w:bCs/>
        </w:rPr>
        <w:t xml:space="preserve">other</w:t>
      </w:r>
      <w:r>
        <w:t xml:space="preserve"> </w:t>
      </w:r>
      <w:r>
        <w:t xml:space="preserve">requirements and</w:t>
      </w:r>
      <w:r>
        <w:t xml:space="preserve"> </w:t>
      </w:r>
      <w:r>
        <w:rPr>
          <w:b/>
          <w:bCs/>
        </w:rPr>
        <w:t xml:space="preserve">other</w:t>
      </w:r>
      <w:r>
        <w:t xml:space="preserve"> </w:t>
      </w:r>
      <w:r>
        <w:t xml:space="preserve">assets. The goal was to show the</w:t>
      </w:r>
      <w:r>
        <w:t xml:space="preserve"> </w:t>
      </w:r>
      <w:r>
        <w:rPr>
          <w:b/>
          <w:bCs/>
        </w:rPr>
        <w:t xml:space="preserve">method</w:t>
      </w:r>
      <w:r>
        <w:t xml:space="preserve">; now you need to apply the same</w:t>
      </w:r>
      <w:r>
        <w:t xml:space="preserve"> </w:t>
      </w:r>
      <w:r>
        <w:t xml:space="preserve">method to your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project’s assets and requirements. You learn a method not only by watching it, but by</w:t>
      </w:r>
      <w:r>
        <w:t xml:space="preserve"> </w:t>
      </w:r>
      <w:r>
        <w:t xml:space="preserve">applying it yourself once — especially in Exercises 1 and 3,</w:t>
      </w:r>
      <w:r>
        <w:t xml:space="preserve"> </w:t>
      </w:r>
      <w:r>
        <w:rPr>
          <w:b/>
          <w:bCs/>
        </w:rPr>
        <w:t xml:space="preserve">you</w:t>
      </w:r>
      <w:r>
        <w:t xml:space="preserve"> </w:t>
      </w:r>
      <w:r>
        <w:t xml:space="preserve">must notice which word is vague; this skill</w:t>
      </w:r>
      <w:r>
        <w:t xml:space="preserve"> </w:t>
      </w:r>
      <w:r>
        <w:t xml:space="preserve">only comes with practice.</w:t>
      </w:r>
    </w:p>
    <w:p>
      <w:pPr>
        <w:pStyle w:val="BlockText"/>
      </w:pPr>
      <w:r>
        <w:rPr>
          <w:b/>
          <w:bCs/>
        </w:rPr>
        <w:t xml:space="preserve">If you get stuck, which section to go back to</w:t>
      </w:r>
    </w:p>
    <w:p>
      <w:pPr>
        <w:pStyle w:val="BlockText"/>
      </w:pPr>
      <w:r>
        <w:t xml:space="preserve">Exercise 1 → reread the six-step example in Section 1. Exercise 2 → look at the mapping tables in Section 6.</w:t>
      </w:r>
      <w:r>
        <w:t xml:space="preserve"> </w:t>
      </w:r>
      <w:r>
        <w:t xml:space="preserve">Exercise 3 → look at the deferred-requirement example in Section 3. Exercise 4 → look at the ST skeleton</w:t>
      </w:r>
      <w:r>
        <w:t xml:space="preserve"> </w:t>
      </w:r>
      <w:r>
        <w:t xml:space="preserve">example in Section 4. Exercise 5 → look at the FIPS audit table in Section 5.</w:t>
      </w:r>
    </w:p>
    <w:p>
      <w:pPr>
        <w:pStyle w:val="BlockText"/>
      </w:pPr>
      <w:r>
        <w:rPr>
          <w:b/>
          <w:bCs/>
        </w:rPr>
        <w:t xml:space="preserve">Common mistake:</w:t>
      </w:r>
      <w:r>
        <w:rPr>
          <w:b/>
          <w:bCs/>
        </w:rPr>
        <w:t xml:space="preserve"> </w:t>
      </w:r>
      <w:r>
        <w:rPr>
          <w:b/>
          <w:bCs/>
        </w:rPr>
        <w:t xml:space="preserve">‘solving’</w:t>
      </w:r>
      <w:r>
        <w:rPr>
          <w:b/>
          <w:bCs/>
        </w:rPr>
        <w:t xml:space="preserve"> </w:t>
      </w:r>
      <w:r>
        <w:rPr>
          <w:b/>
          <w:bCs/>
        </w:rPr>
        <w:t xml:space="preserve">the exercise in a single sentence</w:t>
      </w:r>
    </w:p>
    <w:p>
      <w:pPr>
        <w:pStyle w:val="BlockText"/>
      </w:pPr>
      <w:r>
        <w:t xml:space="preserve">Replacing</w:t>
      </w:r>
      <w:r>
        <w:t xml:space="preserve"> </w:t>
      </w:r>
      <w:r>
        <w:t xml:space="preserve">“The system must be resilient to attacks”</w:t>
      </w:r>
      <w:r>
        <w:t xml:space="preserve"> </w:t>
      </w:r>
      <w:r>
        <w:t xml:space="preserve">with another vague sentence like</w:t>
      </w:r>
      <w:r>
        <w:t xml:space="preserve"> </w:t>
      </w:r>
      <w:r>
        <w:t xml:space="preserve">“The system must be</w:t>
      </w:r>
      <w:r>
        <w:t xml:space="preserve"> </w:t>
      </w:r>
      <w:r>
        <w:t xml:space="preserve">secure”</w:t>
      </w:r>
      <w:r>
        <w:t xml:space="preserve"> </w:t>
      </w:r>
      <w:r>
        <w:t xml:space="preserve">looks like the exercise is solved, but repeats the same mistake. A requirement is not</w:t>
      </w:r>
      <w:r>
        <w:t xml:space="preserve"> </w:t>
      </w:r>
      <w:r>
        <w:t xml:space="preserve">“good”</w:t>
      </w:r>
      <w:r>
        <w:t xml:space="preserve"> </w:t>
      </w:r>
      <w:r>
        <w:t xml:space="preserve">unless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six steps from Section 1 are applied.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After finishing each exercise answer, ask yourself:</w:t>
      </w:r>
      <w:r>
        <w:t xml:space="preserve"> </w:t>
      </w:r>
      <w:r>
        <w:t xml:space="preserve">“Can I verify this sentence with a test/review?”</w:t>
      </w:r>
      <w:r>
        <w:t xml:space="preserve"> </w:t>
      </w:r>
      <w:r>
        <w:t xml:space="preserve">If the</w:t>
      </w:r>
      <w:r>
        <w:t xml:space="preserve"> </w:t>
      </w:r>
      <w:r>
        <w:t xml:space="preserve">answer is</w:t>
      </w:r>
      <w:r>
        <w:t xml:space="preserve"> </w:t>
      </w:r>
      <w:r>
        <w:t xml:space="preserve">“no”</w:t>
      </w:r>
      <w:r>
        <w:t xml:space="preserve"> </w:t>
      </w:r>
      <w:r>
        <w:t xml:space="preserve">or</w:t>
      </w:r>
      <w:r>
        <w:t xml:space="preserve"> </w:t>
      </w:r>
      <w:r>
        <w:t xml:space="preserve">“maybe,”</w:t>
      </w:r>
      <w:r>
        <w:t xml:space="preserve"> </w:t>
      </w:r>
      <w:r>
        <w:t xml:space="preserve">the requirement isn’t ready yet.</w:t>
      </w:r>
    </w:p>
    <w:bookmarkEnd w:id="145"/>
    <w:bookmarkStart w:id="146" w:name="X397183224fea90698147d9f5eec0801faf0245f"/>
    <w:p>
      <w:pPr>
        <w:pStyle w:val="Heading3"/>
      </w:pPr>
      <w:r>
        <w:t xml:space="preserve">A mini checklist for evaluating your own answer</w:t>
      </w:r>
    </w:p>
    <w:p>
      <w:pPr>
        <w:pStyle w:val="FirstParagraph"/>
      </w:pPr>
      <w:r>
        <w:t xml:space="preserve">After finishing each exercise, check this list of five (it’s the inverted form of the</w:t>
      </w:r>
      <w:r>
        <w:t xml:space="preserve"> </w:t>
      </w:r>
      <w:r>
        <w:t xml:space="preserve">“five finding types an</w:t>
      </w:r>
      <w:r>
        <w:t xml:space="preserve"> </w:t>
      </w:r>
      <w:r>
        <w:t xml:space="preserve">evaluator writes most often”</w:t>
      </w:r>
      <w:r>
        <w:t xml:space="preserve"> </w:t>
      </w:r>
      <w:r>
        <w:t xml:space="preserve">list from Section 2):</w:t>
      </w:r>
    </w:p>
    <w:p>
      <w:pPr>
        <w:pStyle w:val="Compact"/>
        <w:numPr>
          <w:ilvl w:val="0"/>
          <w:numId w:val="1040"/>
        </w:numPr>
      </w:pPr>
      <w:r>
        <w:t xml:space="preserve">Does my answer have a</w:t>
      </w:r>
      <w:r>
        <w:t xml:space="preserve"> </w:t>
      </w:r>
      <w:r>
        <w:t xml:space="preserve">“met”</w:t>
      </w:r>
      <w:r>
        <w:t xml:space="preserve"> </w:t>
      </w:r>
      <w:r>
        <w:t xml:space="preserve">with no evidence?</w:t>
      </w:r>
    </w:p>
    <w:p>
      <w:pPr>
        <w:pStyle w:val="Compact"/>
        <w:numPr>
          <w:ilvl w:val="0"/>
          <w:numId w:val="1041"/>
        </w:numPr>
      </w:pPr>
      <w:r>
        <w:t xml:space="preserve">Are the ids consistent (the same id for the same requirement everywhere)?</w:t>
      </w:r>
    </w:p>
    <w:p>
      <w:pPr>
        <w:pStyle w:val="Compact"/>
        <w:numPr>
          <w:ilvl w:val="0"/>
          <w:numId w:val="1042"/>
        </w:numPr>
      </w:pPr>
      <w:r>
        <w:t xml:space="preserve">Is every control I wrote linked to a requirement?</w:t>
      </w:r>
    </w:p>
    <w:p>
      <w:pPr>
        <w:pStyle w:val="Compact"/>
        <w:numPr>
          <w:ilvl w:val="0"/>
          <w:numId w:val="1043"/>
        </w:numPr>
      </w:pPr>
      <w:r>
        <w:t xml:space="preserve">Is there a rationale everywhere I said</w:t>
      </w:r>
      <w:r>
        <w:t xml:space="preserve"> </w:t>
      </w:r>
      <w:r>
        <w:t xml:space="preserve">“not applicable”</w:t>
      </w:r>
      <w:r>
        <w:t xml:space="preserve">?</w:t>
      </w:r>
    </w:p>
    <w:p>
      <w:pPr>
        <w:pStyle w:val="Compact"/>
        <w:numPr>
          <w:ilvl w:val="0"/>
          <w:numId w:val="1044"/>
        </w:numPr>
      </w:pPr>
      <w:r>
        <w:t xml:space="preserve">Did I write a generic sentence as evidence, or a concrete reference?</w:t>
      </w:r>
    </w:p>
    <w:p>
      <w:pPr>
        <w:pStyle w:val="FirstParagraph"/>
      </w:pPr>
      <w:r>
        <w:t xml:space="preserve">If you can answer</w:t>
      </w:r>
      <w:r>
        <w:t xml:space="preserve"> </w:t>
      </w:r>
      <w:r>
        <w:t xml:space="preserve">“no”</w:t>
      </w:r>
      <w:r>
        <w:t xml:space="preserve"> </w:t>
      </w:r>
      <w:r>
        <w:t xml:space="preserve">(i.e., no problem) to all five items, your answer is close to evaluator standard.</w:t>
      </w:r>
    </w:p>
    <w:bookmarkEnd w:id="146"/>
    <w:bookmarkStart w:id="147" w:name="a-starting-template-for-exercise-1"/>
    <w:p>
      <w:pPr>
        <w:pStyle w:val="Heading3"/>
      </w:pPr>
      <w:r>
        <w:t xml:space="preserve">A starting template for Exercise 1</w:t>
      </w:r>
    </w:p>
    <w:p>
      <w:pPr>
        <w:pStyle w:val="FirstParagraph"/>
      </w:pPr>
      <w:r>
        <w:t xml:space="preserve">If you still don’t know where to start, use this fill-in-the-blank template (the compressed form of the six</w:t>
      </w:r>
      <w:r>
        <w:t xml:space="preserve"> </w:t>
      </w:r>
      <w:r>
        <w:t xml:space="preserve">steps from Section 1):</w:t>
      </w:r>
    </w:p>
    <w:p>
      <w:pPr>
        <w:pStyle w:val="BlockText"/>
      </w:pPr>
      <w:r>
        <w:t xml:space="preserve">“[Which asset], [against which threat], [with which goal: confidentiality/integrity/availability], [with which</w:t>
      </w:r>
      <w:r>
        <w:t xml:space="preserve"> </w:t>
      </w:r>
      <w:r>
        <w:t xml:space="preserve">tool class], [in which state: at rest/in use/in transit], [MUST/SHOULD] be protected.”</w:t>
      </w:r>
    </w:p>
    <w:p>
      <w:pPr>
        <w:pStyle w:val="FirstParagraph"/>
      </w:pPr>
      <w:r>
        <w:t xml:space="preserve">Once you fill in every bracket, you’ll have a requirement resembling the examples in Section 1. If one of the</w:t>
      </w:r>
      <w:r>
        <w:t xml:space="preserve"> </w:t>
      </w:r>
      <w:r>
        <w:t xml:space="preserve">blanks can’t be filled in (e.g., you can’t answer</w:t>
      </w:r>
      <w:r>
        <w:t xml:space="preserve"> </w:t>
      </w:r>
      <w:r>
        <w:t xml:space="preserve">“against which threat”</w:t>
      </w:r>
      <w:r>
        <w:t xml:space="preserve">), this is a sign the requirement isn’t</w:t>
      </w:r>
      <w:r>
        <w:t xml:space="preserve"> </w:t>
      </w:r>
      <w:r>
        <w:t xml:space="preserve">mature yet — go back to your threat model (Week 1).</w:t>
      </w:r>
    </w:p>
    <w:p>
      <w:r>
        <w:pict>
          <v:rect style="width:0;height:1.5pt" o:hralign="center" o:hrstd="t" o:hr="t"/>
        </w:pict>
      </w:r>
    </w:p>
    <w:bookmarkEnd w:id="147"/>
    <w:bookmarkEnd w:id="148"/>
    <w:bookmarkStart w:id="149" w:name="self-check"/>
    <w:p>
      <w:pPr>
        <w:pStyle w:val="Heading2"/>
      </w:pPr>
      <w:r>
        <w:t xml:space="preserve">11. Self-check</w:t>
      </w:r>
    </w:p>
    <w:p>
      <w:pPr>
        <w:pStyle w:val="BlockText"/>
      </w:pPr>
      <w:r>
        <w:rPr>
          <w:b/>
          <w:bCs/>
        </w:rPr>
        <w:t xml:space="preserve">1. What is the difference between a functional security requirement and an assurance requirement?</w:t>
      </w:r>
    </w:p>
    <w:p>
      <w:pPr>
        <w:pStyle w:val="BlockText"/>
      </w:pPr>
      <w:r>
        <w:t xml:space="preserve">A functional requirement defines which security function the product will perform; an assurance requirement</w:t>
      </w:r>
      <w:r>
        <w:t xml:space="preserve"> </w:t>
      </w:r>
      <w:r>
        <w:t xml:space="preserve">defines how we will trust that this function is performed correctly (review, testing, documentation).</w:t>
      </w:r>
    </w:p>
    <w:p>
      <w:pPr>
        <w:pStyle w:val="BlockText"/>
      </w:pPr>
      <w:r>
        <w:rPr>
          <w:b/>
          <w:bCs/>
        </w:rPr>
        <w:t xml:space="preserve">2. What are the five properties of a good requirement?</w:t>
      </w:r>
    </w:p>
    <w:p>
      <w:pPr>
        <w:pStyle w:val="BlockText"/>
      </w:pPr>
      <w:r>
        <w:t xml:space="preserve">Singular, verifiable, traceable, feasible, and focused on</w:t>
      </w:r>
      <w:r>
        <w:t xml:space="preserve"> </w:t>
      </w:r>
      <w:r>
        <w:t xml:space="preserve">“what”</w:t>
      </w:r>
      <w:r>
        <w:t xml:space="preserve"> </w:t>
      </w:r>
      <w:r>
        <w:t xml:space="preserve">rather than</w:t>
      </w:r>
      <w:r>
        <w:t xml:space="preserve"> </w:t>
      </w:r>
      <w:r>
        <w:t xml:space="preserve">“how.”</w:t>
      </w:r>
    </w:p>
    <w:p>
      <w:pPr>
        <w:pStyle w:val="BlockText"/>
      </w:pPr>
      <w:r>
        <w:rPr>
          <w:b/>
          <w:bCs/>
        </w:rPr>
        <w:t xml:space="preserve">3. What do forward and backward traceability ask in a compliance matrix?</w:t>
      </w:r>
    </w:p>
    <w:p>
      <w:pPr>
        <w:pStyle w:val="BlockText"/>
      </w:pPr>
      <w:r>
        <w:t xml:space="preserve">Forward: does every requirement lead to a control and a verification? Backward: does every control rest on a</w:t>
      </w:r>
      <w:r>
        <w:t xml:space="preserve"> </w:t>
      </w:r>
      <w:r>
        <w:t xml:space="preserve">requirement or a threat?</w:t>
      </w:r>
    </w:p>
    <w:p>
      <w:pPr>
        <w:pStyle w:val="BlockText"/>
      </w:pPr>
      <w:r>
        <w:rPr>
          <w:b/>
          <w:bCs/>
        </w:rPr>
        <w:t xml:space="preserve">4. When is the</w:t>
      </w:r>
      <w:r>
        <w:rPr>
          <w:b/>
          <w:bCs/>
        </w:rPr>
        <w:t xml:space="preserve"> </w:t>
      </w:r>
      <w:r>
        <w:rPr>
          <w:b/>
          <w:bCs/>
        </w:rPr>
        <w:t xml:space="preserve">‘deferred’</w:t>
      </w:r>
      <w:r>
        <w:rPr>
          <w:b/>
          <w:bCs/>
        </w:rPr>
        <w:t xml:space="preserve"> </w:t>
      </w:r>
      <w:r>
        <w:rPr>
          <w:b/>
          <w:bCs/>
        </w:rPr>
        <w:t xml:space="preserve">status used? How must it be written?</w:t>
      </w:r>
    </w:p>
    <w:p>
      <w:pPr>
        <w:pStyle w:val="BlockText"/>
      </w:pPr>
      <w:r>
        <w:t xml:space="preserve">When another party (the parent application, the operating system) can meet the requirement instead of the</w:t>
      </w:r>
      <w:r>
        <w:t xml:space="preserve"> </w:t>
      </w:r>
      <w:r>
        <w:t xml:space="preserve">component. To whom and why it was deferred, and how the other party will meet it, must be written explicitly.</w:t>
      </w:r>
    </w:p>
    <w:p>
      <w:pPr>
        <w:pStyle w:val="BlockText"/>
      </w:pPr>
      <w:r>
        <w:rPr>
          <w:b/>
          <w:bCs/>
        </w:rPr>
        <w:t xml:space="preserve">5. Is an EAL4 product always more secure than an EAL2 product?</w:t>
      </w:r>
    </w:p>
    <w:p>
      <w:pPr>
        <w:pStyle w:val="BlockText"/>
      </w:pPr>
      <w:r>
        <w:t xml:space="preserve">No. EAL shows the depth of the evaluation; security depends on the threats and objectives in the security</w:t>
      </w:r>
      <w:r>
        <w:t xml:space="preserve"> </w:t>
      </w:r>
      <w:r>
        <w:t xml:space="preserve">target.</w:t>
      </w:r>
    </w:p>
    <w:p>
      <w:pPr>
        <w:pStyle w:val="BlockText"/>
      </w:pPr>
      <w:r>
        <w:rPr>
          <w:b/>
          <w:bCs/>
        </w:rPr>
        <w:t xml:space="preserve">6. What is the difference between ST and PP?</w:t>
      </w:r>
    </w:p>
    <w:p>
      <w:pPr>
        <w:pStyle w:val="BlockText"/>
      </w:pPr>
      <w:r>
        <w:t xml:space="preserve">A PP is a common requirement set for a product class; an ST is a specific product’s security target, and it</w:t>
      </w:r>
      <w:r>
        <w:t xml:space="preserve"> </w:t>
      </w:r>
      <w:r>
        <w:t xml:space="preserve">can claim conformance to a PP.</w:t>
      </w:r>
    </w:p>
    <w:p>
      <w:pPr>
        <w:pStyle w:val="BlockText"/>
      </w:pPr>
      <w:r>
        <w:rPr>
          <w:b/>
          <w:bCs/>
        </w:rPr>
        <w:t xml:space="preserve">7. Which factors score attack potential in the CEM?</w:t>
      </w:r>
    </w:p>
    <w:p>
      <w:pPr>
        <w:pStyle w:val="BlockText"/>
      </w:pPr>
      <w:r>
        <w:t xml:space="preserve">Elapsed time, expertise, knowledge of the product, window of opportunity, and equipment.</w:t>
      </w:r>
    </w:p>
    <w:p>
      <w:pPr>
        <w:pStyle w:val="BlockText"/>
      </w:pPr>
      <w:r>
        <w:rPr>
          <w:b/>
          <w:bCs/>
        </w:rPr>
        <w:t xml:space="preserve">8. What is the difference between Level 2 and Level 3 in FIPS 140-3?</w:t>
      </w:r>
    </w:p>
    <w:p>
      <w:pPr>
        <w:pStyle w:val="BlockText"/>
      </w:pPr>
      <w:r>
        <w:t xml:space="preserve">Level 2 requires tamper evidence and role-based authentication; Level 3 requires tamper resistance and</w:t>
      </w:r>
      <w:r>
        <w:t xml:space="preserve"> </w:t>
      </w:r>
      <w:r>
        <w:t xml:space="preserve">response (erasing the key) and identity-based authentication.</w:t>
      </w:r>
    </w:p>
    <w:p>
      <w:pPr>
        <w:pStyle w:val="BlockText"/>
      </w:pPr>
      <w:r>
        <w:rPr>
          <w:b/>
          <w:bCs/>
        </w:rPr>
        <w:t xml:space="preserve">9. Why isn’t</w:t>
      </w:r>
      <w:r>
        <w:rPr>
          <w:b/>
          <w:bCs/>
        </w:rPr>
        <w:t xml:space="preserve"> </w:t>
      </w:r>
      <w:r>
        <w:rPr>
          <w:b/>
          <w:bCs/>
        </w:rPr>
        <w:t xml:space="preserve">‘we use a FIPS-validated library’</w:t>
      </w:r>
      <w:r>
        <w:rPr>
          <w:b/>
          <w:bCs/>
        </w:rPr>
        <w:t xml:space="preserve"> </w:t>
      </w:r>
      <w:r>
        <w:rPr>
          <w:b/>
          <w:bCs/>
        </w:rPr>
        <w:t xml:space="preserve">enough?</w:t>
      </w:r>
    </w:p>
    <w:p>
      <w:pPr>
        <w:pStyle w:val="BlockText"/>
      </w:pPr>
      <w:r>
        <w:t xml:space="preserve">The application can use the library incorrectly (nonce reuse, turning off validation, leaving the key in</w:t>
      </w:r>
      <w:r>
        <w:t xml:space="preserve"> </w:t>
      </w:r>
      <w:r>
        <w:t xml:space="preserve">memory); the validation covers the module, not the application itself.</w:t>
      </w:r>
    </w:p>
    <w:p>
      <w:pPr>
        <w:pStyle w:val="BlockText"/>
      </w:pPr>
      <w:r>
        <w:rPr>
          <w:b/>
          <w:bCs/>
        </w:rPr>
        <w:t xml:space="preserve">10. What do ISO/IEC 27001 and Common Criteria each certify?</w:t>
      </w:r>
    </w:p>
    <w:p>
      <w:pPr>
        <w:pStyle w:val="BlockText"/>
      </w:pPr>
      <w:r>
        <w:t xml:space="preserve">ISO/IEC 27001 certifies the organisation’s information security management system; Common Criteria certifies</w:t>
      </w:r>
      <w:r>
        <w:t xml:space="preserve"> </w:t>
      </w:r>
      <w:r>
        <w:t xml:space="preserve">a product.</w:t>
      </w:r>
    </w:p>
    <w:p>
      <w:pPr>
        <w:pStyle w:val="BlockText"/>
      </w:pPr>
      <w:r>
        <w:rPr>
          <w:b/>
          <w:bCs/>
        </w:rPr>
        <w:t xml:space="preserve">11. Why is each of the</w:t>
      </w:r>
      <w:r>
        <w:rPr>
          <w:b/>
          <w:bCs/>
        </w:rPr>
        <w:t xml:space="preserve"> </w:t>
      </w:r>
      <w:r>
        <w:rPr>
          <w:b/>
          <w:bCs/>
        </w:rPr>
        <w:t xml:space="preserve">‘to whom, why, how’</w:t>
      </w:r>
      <w:r>
        <w:rPr>
          <w:b/>
          <w:bCs/>
        </w:rPr>
        <w:t xml:space="preserve"> </w:t>
      </w:r>
      <w:r>
        <w:rPr>
          <w:b/>
          <w:bCs/>
        </w:rPr>
        <w:t xml:space="preserve">triple needed for a deferred requirement?</w:t>
      </w:r>
    </w:p>
    <w:p>
      <w:pPr>
        <w:pStyle w:val="BlockText"/>
      </w:pPr>
      <w:r>
        <w:t xml:space="preserve">To whom: it must be clear who the responsibility shifts to. Why: the reason the component cannot meet it must</w:t>
      </w:r>
      <w:r>
        <w:t xml:space="preserve"> </w:t>
      </w:r>
      <w:r>
        <w:t xml:space="preserve">be explained so the evaluator can question the rationale. How: a concrete way the other party can actually</w:t>
      </w:r>
      <w:r>
        <w:t xml:space="preserve"> </w:t>
      </w:r>
      <w:r>
        <w:t xml:space="preserve">meet it must be shown; if any of the three is missing, deferring becomes</w:t>
      </w:r>
      <w:r>
        <w:t xml:space="preserve"> </w:t>
      </w:r>
      <w:r>
        <w:t xml:space="preserve">“leaving responsibility hanging.”</w:t>
      </w:r>
    </w:p>
    <w:p>
      <w:pPr>
        <w:pStyle w:val="BlockText"/>
      </w:pPr>
      <w:r>
        <w:rPr>
          <w:b/>
          <w:bCs/>
        </w:rPr>
        <w:t xml:space="preserve">12. What is the relationship between S17 (compliance matrix) and S14 (assumptions and deferred requirements)?</w:t>
      </w:r>
    </w:p>
    <w:p>
      <w:pPr>
        <w:pStyle w:val="BlockText"/>
      </w:pPr>
      <w:r>
        <w:t xml:space="preserve">Every row marked</w:t>
      </w:r>
      <w:r>
        <w:t xml:space="preserve"> </w:t>
      </w:r>
      <w:r>
        <w:t xml:space="preserve">“deferred”</w:t>
      </w:r>
      <w:r>
        <w:t xml:space="preserve"> </w:t>
      </w:r>
      <w:r>
        <w:t xml:space="preserve">in S17 is explained in S14 with the to-whom/why/how detail; the two complement</w:t>
      </w:r>
      <w:r>
        <w:t xml:space="preserve"> </w:t>
      </w:r>
      <w:r>
        <w:t xml:space="preserve">each other and must be consistent.</w:t>
      </w:r>
    </w:p>
    <w:p>
      <w:pPr>
        <w:pStyle w:val="BlockText"/>
      </w:pPr>
      <w:r>
        <w:rPr>
          <w:b/>
          <w:bCs/>
        </w:rPr>
        <w:t xml:space="preserve">13. What is the CEM (Common Evaluation Methodology), and how does it relate to CC?</w:t>
      </w:r>
    </w:p>
    <w:p>
      <w:pPr>
        <w:pStyle w:val="BlockText"/>
      </w:pPr>
      <w:r>
        <w:t xml:space="preserve">ISO/IEC 18045; the methodology document that defines how Common Criteria (ISO/IEC 15408) is applied in an</w:t>
      </w:r>
      <w:r>
        <w:t xml:space="preserve"> </w:t>
      </w:r>
      <w:r>
        <w:t xml:space="preserve">evaluation, and which steps an evaluator follows.</w:t>
      </w:r>
    </w:p>
    <w:p>
      <w:pPr>
        <w:pStyle w:val="BlockText"/>
      </w:pPr>
      <w:r>
        <w:rPr>
          <w:b/>
          <w:bCs/>
        </w:rPr>
        <w:t xml:space="preserve">14. What is the AVA_VAN component used for?</w:t>
      </w:r>
    </w:p>
    <w:p>
      <w:pPr>
        <w:pStyle w:val="BlockText"/>
      </w:pPr>
      <w:r>
        <w:t xml:space="preserve">For vulnerability assessment; it determines what attack potential (Basic, Enhanced-Basic, Moderate, High) the</w:t>
      </w:r>
      <w:r>
        <w:t xml:space="preserve"> </w:t>
      </w:r>
      <w:r>
        <w:t xml:space="preserve">product must withstand from an attacker.</w:t>
      </w:r>
    </w:p>
    <w:p>
      <w:pPr>
        <w:pStyle w:val="BlockText"/>
      </w:pPr>
      <w:r>
        <w:rPr>
          <w:b/>
          <w:bCs/>
        </w:rPr>
        <w:t xml:space="preserve">15. What is zeroization, and why is it required in FIPS 140-3?</w:t>
      </w:r>
    </w:p>
    <w:p>
      <w:pPr>
        <w:pStyle w:val="BlockText"/>
      </w:pPr>
      <w:r>
        <w:t xml:space="preserve">The secure erasure of critical security parameters (such as keys) from memory/storage once their job is done;</w:t>
      </w:r>
      <w:r>
        <w:t xml:space="preserve"> </w:t>
      </w:r>
      <w:r>
        <w:t xml:space="preserve">an attacker who gains physical or logical access to the device must not be able to find old keys.</w:t>
      </w:r>
    </w:p>
    <w:p>
      <w:pPr>
        <w:pStyle w:val="BlockText"/>
      </w:pPr>
      <w:r>
        <w:rPr>
          <w:b/>
          <w:bCs/>
        </w:rPr>
        <w:t xml:space="preserve">16. What kind of products is ETSI EN 303 645 written for?</w:t>
      </w:r>
    </w:p>
    <w:p>
      <w:pPr>
        <w:pStyle w:val="BlockText"/>
      </w:pPr>
      <w:r>
        <w:t xml:space="preserve">Consumer internet of things (IoT) devices; it defines a baseline security line for internet-connected consumer</w:t>
      </w:r>
      <w:r>
        <w:t xml:space="preserve"> </w:t>
      </w:r>
      <w:r>
        <w:t xml:space="preserve">/home products.</w:t>
      </w:r>
    </w:p>
    <w:p>
      <w:pPr>
        <w:pStyle w:val="BlockText"/>
      </w:pPr>
      <w:r>
        <w:rPr>
          <w:b/>
          <w:bCs/>
        </w:rPr>
        <w:t xml:space="preserve">17. Does GSMA SAS audit a product or a facility?</w:t>
      </w:r>
    </w:p>
    <w:p>
      <w:pPr>
        <w:pStyle w:val="BlockText"/>
      </w:pPr>
      <w:r>
        <w:t xml:space="preserve">A facility: it audits the physical security, personnel, processes, and key management of facilities that</w:t>
      </w:r>
      <w:r>
        <w:t xml:space="preserve"> </w:t>
      </w:r>
      <w:r>
        <w:t xml:space="preserve">manufacture SIMs/eSIMs and manage subscriptions.</w:t>
      </w:r>
    </w:p>
    <w:p>
      <w:pPr>
        <w:pStyle w:val="BlockText"/>
      </w:pPr>
      <w:r>
        <w:rPr>
          <w:b/>
          <w:bCs/>
        </w:rPr>
        <w:t xml:space="preserve">18. What is the main difference between EMVCo’s software-based mobile payment requirements and PCI MPoC?</w:t>
      </w:r>
    </w:p>
    <w:p>
      <w:pPr>
        <w:pStyle w:val="BlockText"/>
      </w:pPr>
      <w:r>
        <w:t xml:space="preserve">EMVCo covers the application-level security of payment solutions that don’t use the phone’s secure element</w:t>
      </w:r>
      <w:r>
        <w:t xml:space="preserve"> </w:t>
      </w:r>
      <w:r>
        <w:t xml:space="preserve">(emulating the card in software); PCI MPoC covers using commercial phones/tablets as payment-acceptance</w:t>
      </w:r>
      <w:r>
        <w:t xml:space="preserve"> </w:t>
      </w:r>
      <w:r>
        <w:t xml:space="preserve">terminals, the application and the backend together, with monitoring and attestation services.</w:t>
      </w:r>
    </w:p>
    <w:p>
      <w:pPr>
        <w:pStyle w:val="BlockText"/>
      </w:pPr>
      <w:r>
        <w:rPr>
          <w:b/>
          <w:bCs/>
        </w:rPr>
        <w:t xml:space="preserve">19. Which of OWASP MASVS’s control groups covers</w:t>
      </w:r>
      <w:r>
        <w:rPr>
          <w:b/>
          <w:bCs/>
        </w:rPr>
        <w:t xml:space="preserve"> </w:t>
      </w:r>
      <w:r>
        <w:rPr>
          <w:b/>
          <w:bCs/>
        </w:rPr>
        <w:t xml:space="preserve">‘resilience under attack’</w:t>
      </w:r>
      <w:r>
        <w:rPr>
          <w:b/>
          <w:bCs/>
        </w:rPr>
        <w:t xml:space="preserve"> </w:t>
      </w:r>
      <w:r>
        <w:rPr>
          <w:b/>
          <w:bCs/>
        </w:rPr>
        <w:t xml:space="preserve">topics such as debugger detection and code integrity?</w:t>
      </w:r>
    </w:p>
    <w:p>
      <w:pPr>
        <w:pStyle w:val="BlockText"/>
      </w:pPr>
      <w:r>
        <w:t xml:space="preserve">MASVS-RESILIENCE.</w:t>
      </w:r>
    </w:p>
    <w:p>
      <w:pPr>
        <w:pStyle w:val="BlockText"/>
      </w:pPr>
      <w:r>
        <w:rPr>
          <w:b/>
          <w:bCs/>
        </w:rPr>
        <w:t xml:space="preserve">20. What must be written when a requirement is marked</w:t>
      </w:r>
      <w:r>
        <w:rPr>
          <w:b/>
          <w:bCs/>
        </w:rPr>
        <w:t xml:space="preserve"> </w:t>
      </w:r>
      <w:r>
        <w:rPr>
          <w:b/>
          <w:bCs/>
        </w:rPr>
        <w:t xml:space="preserve">‘not applicable’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The rationale for why the product doesn’t fall under that requirement’s scope (e.g., if there’s no network</w:t>
      </w:r>
      <w:r>
        <w:t xml:space="preserve"> </w:t>
      </w:r>
      <w:r>
        <w:t xml:space="preserve">connection, data-in-transit requirements don’t apply) must be documented explicitly; a</w:t>
      </w:r>
      <w:r>
        <w:t xml:space="preserve"> </w:t>
      </w:r>
      <w:r>
        <w:t xml:space="preserve">“not applicable”</w:t>
      </w:r>
      <w:r>
        <w:t xml:space="preserve"> </w:t>
      </w:r>
      <w:r>
        <w:t xml:space="preserve">with</w:t>
      </w:r>
      <w:r>
        <w:t xml:space="preserve"> </w:t>
      </w:r>
      <w:r>
        <w:t xml:space="preserve">no rationale is treated as a finding.</w:t>
      </w:r>
    </w:p>
    <w:p>
      <w:pPr>
        <w:pStyle w:val="BlockText"/>
      </w:pPr>
      <w:r>
        <w:rPr>
          <w:b/>
          <w:bCs/>
        </w:rPr>
        <w:t xml:space="preserve">21. What must be done if a requirement using the SHOULD keyword (should, recommended) is not met?</w:t>
      </w:r>
    </w:p>
    <w:p>
      <w:pPr>
        <w:pStyle w:val="BlockText"/>
      </w:pPr>
      <w:r>
        <w:t xml:space="preserve">The rationale for not meeting it must be documented in writing; otherwise the evaluator treats it as a gap.</w:t>
      </w:r>
    </w:p>
    <w:p>
      <w:pPr>
        <w:pStyle w:val="BlockText"/>
      </w:pPr>
      <w:r>
        <w:rPr>
          <w:b/>
          <w:bCs/>
        </w:rPr>
        <w:t xml:space="preserve">22. What does it mean for a good requirement to be</w:t>
      </w:r>
      <w:r>
        <w:rPr>
          <w:b/>
          <w:bCs/>
        </w:rPr>
        <w:t xml:space="preserve"> </w:t>
      </w:r>
      <w:r>
        <w:rPr>
          <w:b/>
          <w:bCs/>
        </w:rPr>
        <w:t xml:space="preserve">‘singular,’</w:t>
      </w:r>
      <w:r>
        <w:rPr>
          <w:b/>
          <w:bCs/>
        </w:rPr>
        <w:t xml:space="preserve"> </w:t>
      </w:r>
      <w:r>
        <w:rPr>
          <w:b/>
          <w:bCs/>
        </w:rPr>
        <w:t xml:space="preserve">and why does it matter?</w:t>
      </w:r>
    </w:p>
    <w:p>
      <w:pPr>
        <w:pStyle w:val="BlockText"/>
      </w:pPr>
      <w:r>
        <w:t xml:space="preserve">A sentence must contain only one condition; if multiple conditions are combined (e.g.,</w:t>
      </w:r>
      <w:r>
        <w:t xml:space="preserve"> </w:t>
      </w:r>
      <w:r>
        <w:t xml:space="preserve">“must be fast and</w:t>
      </w:r>
      <w:r>
        <w:t xml:space="preserve"> </w:t>
      </w:r>
      <w:r>
        <w:t xml:space="preserve">secure”</w:t>
      </w:r>
      <w:r>
        <w:t xml:space="preserve">), it becomes unclear what the status is when one is met and the other isn’t.</w:t>
      </w:r>
    </w:p>
    <w:p>
      <w:pPr>
        <w:pStyle w:val="BlockText"/>
      </w:pPr>
      <w:r>
        <w:rPr>
          <w:b/>
          <w:bCs/>
        </w:rPr>
        <w:t xml:space="preserve">23. If the same security need has a counterpart in more than one standard, does complying with one automatically comply with the other?</w:t>
      </w:r>
    </w:p>
    <w:p>
      <w:pPr>
        <w:pStyle w:val="BlockText"/>
      </w:pPr>
      <w:r>
        <w:t xml:space="preserve">No. The overlap makes gathering evidence easier, but each standard’s own criteria must be verified separately;</w:t>
      </w:r>
      <w:r>
        <w:t xml:space="preserve"> </w:t>
      </w:r>
      <w:r>
        <w:t xml:space="preserve">otherwise an unevidenced assumption is made, like</w:t>
      </w:r>
      <w:r>
        <w:t xml:space="preserve"> </w:t>
      </w:r>
      <w:r>
        <w:t xml:space="preserve">“we complied with one standard, so we also meet the other.”</w:t>
      </w:r>
    </w:p>
    <w:p>
      <w:pPr>
        <w:pStyle w:val="BlockText"/>
      </w:pPr>
      <w:r>
        <w:rPr>
          <w:b/>
          <w:bCs/>
        </w:rPr>
        <w:t xml:space="preserve">24. Why must the evidence column in a compliance matrix be filled in with a file/test name, not a generic phrase like</w:t>
      </w:r>
      <w:r>
        <w:rPr>
          <w:b/>
          <w:bCs/>
        </w:rPr>
        <w:t xml:space="preserve"> </w:t>
      </w:r>
      <w:r>
        <w:rPr>
          <w:b/>
          <w:bCs/>
        </w:rPr>
        <w:t xml:space="preserve">‘there’s a test report’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The evaluator must be able to find the evidence and verify it independently; a generic phrase breaks</w:t>
      </w:r>
      <w:r>
        <w:t xml:space="preserve"> </w:t>
      </w:r>
      <w:r>
        <w:t xml:space="preserve">traceability and effectively leaves the row without evidence.</w:t>
      </w:r>
    </w:p>
    <w:p>
      <w:pPr>
        <w:pStyle w:val="BlockText"/>
      </w:pPr>
      <w:r>
        <w:rPr>
          <w:b/>
          <w:bCs/>
        </w:rPr>
        <w:t xml:space="preserve">25. What is the difference between CAVP and CMVP?</w:t>
      </w:r>
    </w:p>
    <w:p>
      <w:pPr>
        <w:pStyle w:val="BlockText"/>
      </w:pPr>
      <w:r>
        <w:t xml:space="preserve">CAVP tests that individual algorithms (such as AES, SHA-2) are implemented correctly; CMVP evaluates the whole</w:t>
      </w:r>
      <w:r>
        <w:t xml:space="preserve"> </w:t>
      </w:r>
      <w:r>
        <w:t xml:space="preserve">cryptographic module (algorithms + self-tests + roles + zeroization + security policy) and issues the module</w:t>
      </w:r>
      <w:r>
        <w:t xml:space="preserve"> </w:t>
      </w:r>
      <w:r>
        <w:t xml:space="preserve">certificate.</w:t>
      </w:r>
    </w:p>
    <w:p>
      <w:pPr>
        <w:pStyle w:val="BlockText"/>
      </w:pPr>
      <w:r>
        <w:rPr>
          <w:b/>
          <w:bCs/>
        </w:rPr>
        <w:t xml:space="preserve">26. Why does the platform/version information on a FIPS certificate matter?</w:t>
      </w:r>
    </w:p>
    <w:p>
      <w:pPr>
        <w:pStyle w:val="BlockText"/>
      </w:pPr>
      <w:r>
        <w:t xml:space="preserve">Validation is tied to the exact binary tested; if the same source code is compiled on a different platform or</w:t>
      </w:r>
      <w:r>
        <w:t xml:space="preserve"> </w:t>
      </w:r>
      <w:r>
        <w:t xml:space="preserve">build configuration, that build does not automatically inherit the same certificate.</w:t>
      </w:r>
    </w:p>
    <w:p>
      <w:pPr>
        <w:pStyle w:val="BlockText"/>
      </w:pPr>
      <w:r>
        <w:rPr>
          <w:b/>
          <w:bCs/>
        </w:rPr>
        <w:t xml:space="preserve">27. How does GSMA NESAS differ from GSMA SAS?</w:t>
      </w:r>
    </w:p>
    <w:p>
      <w:pPr>
        <w:pStyle w:val="BlockText"/>
      </w:pPr>
      <w:r>
        <w:t xml:space="preserve">SAS audits facilities (manufacturing/management), while NESAS evaluates both the development process and the</w:t>
      </w:r>
      <w:r>
        <w:t xml:space="preserve"> </w:t>
      </w:r>
      <w:r>
        <w:t xml:space="preserve">product itself for mobile network equipment manufacturers.</w:t>
      </w:r>
    </w:p>
    <w:p>
      <w:pPr>
        <w:pStyle w:val="BlockText"/>
      </w:pPr>
      <w:r>
        <w:rPr>
          <w:b/>
          <w:bCs/>
        </w:rPr>
        <w:t xml:space="preserve">28. What is the fundamental difference between the AS (asset protection) family and the DR/DU/DT families?</w:t>
      </w:r>
    </w:p>
    <w:p>
      <w:pPr>
        <w:pStyle w:val="BlockText"/>
      </w:pPr>
      <w:r>
        <w:t xml:space="preserve">AS is about the asset itself (its inventory, its classification); DR/DU/DT is about which state (at</w:t>
      </w:r>
      <w:r>
        <w:t xml:space="preserve"> </w:t>
      </w:r>
      <w:r>
        <w:t xml:space="preserve">rest/in use/in transit) that same asset is in. The same asset can be the subject of both kinds of requirement.</w:t>
      </w:r>
    </w:p>
    <w:p>
      <w:pPr>
        <w:pStyle w:val="BlockText"/>
      </w:pPr>
      <w:r>
        <w:rPr>
          <w:b/>
          <w:bCs/>
        </w:rPr>
        <w:t xml:space="preserve">29. Which countries had their own separate evaluation criteria before Common Criteria?</w:t>
      </w:r>
    </w:p>
    <w:p>
      <w:pPr>
        <w:pStyle w:val="BlockText"/>
      </w:pPr>
      <w:r>
        <w:t xml:space="preserve">The US’s TCSEC (Orange Book), Europe’s ITSEC, and Canada’s CTCPEC; CC merged these three into a single</w:t>
      </w:r>
      <w:r>
        <w:t xml:space="preserve"> </w:t>
      </w:r>
      <w:r>
        <w:t xml:space="preserve">international standard and, with the CCRA, provided recognition across countries.</w:t>
      </w:r>
    </w:p>
    <w:p>
      <w:pPr>
        <w:pStyle w:val="BlockText"/>
      </w:pPr>
      <w:r>
        <w:rPr>
          <w:b/>
          <w:bCs/>
        </w:rPr>
        <w:t xml:space="preserve">30. When time is limited, in what priority order should you fill in S17?</w:t>
      </w:r>
    </w:p>
    <w:p>
      <w:pPr>
        <w:pStyle w:val="BlockText"/>
      </w:pPr>
      <w:r>
        <w:t xml:space="preserve">First the skeleton (id/requirement/status), then completing the rows you actually have evidence for, then</w:t>
      </w:r>
      <w:r>
        <w:t xml:space="preserve"> </w:t>
      </w:r>
      <w:r>
        <w:t xml:space="preserve">moving deferred rows to S14, and finally filling in the remaining control/verification columns; a</w:t>
      </w:r>
      <w:r>
        <w:t xml:space="preserve"> </w:t>
      </w:r>
      <w:r>
        <w:t xml:space="preserve">“small but</w:t>
      </w:r>
      <w:r>
        <w:t xml:space="preserve"> </w:t>
      </w:r>
      <w:r>
        <w:t xml:space="preserve">honest”</w:t>
      </w:r>
      <w:r>
        <w:t xml:space="preserve"> </w:t>
      </w:r>
      <w:r>
        <w:t xml:space="preserve">matrix is better than a</w:t>
      </w:r>
      <w:r>
        <w:t xml:space="preserve"> </w:t>
      </w:r>
      <w:r>
        <w:t xml:space="preserve">“large but evidence-free”</w:t>
      </w:r>
      <w:r>
        <w:t xml:space="preserve"> </w:t>
      </w:r>
      <w:r>
        <w:t xml:space="preserve">one.</w:t>
      </w:r>
    </w:p>
    <w:p>
      <w:pPr>
        <w:pStyle w:val="BlockText"/>
      </w:pPr>
      <w:r>
        <w:rPr>
          <w:b/>
          <w:bCs/>
        </w:rPr>
        <w:t xml:space="preserve">31. Does adding a comment like</w:t>
      </w:r>
      <w:r>
        <w:rPr>
          <w:b/>
          <w:bCs/>
        </w:rPr>
        <w:t xml:space="preserve"> </w:t>
      </w:r>
      <w:r>
        <w:rPr>
          <w:b/>
          <w:bCs/>
        </w:rPr>
        <w:t xml:space="preserve">‘this line meets CEN429-DR-01’</w:t>
      </w:r>
      <w:r>
        <w:rPr>
          <w:b/>
          <w:bCs/>
        </w:rPr>
        <w:t xml:space="preserve"> </w:t>
      </w:r>
      <w:r>
        <w:rPr>
          <w:b/>
          <w:bCs/>
        </w:rPr>
        <w:t xml:space="preserve">in the code replace the evidence column?</w:t>
      </w:r>
    </w:p>
    <w:p>
      <w:pPr>
        <w:pStyle w:val="BlockText"/>
      </w:pPr>
      <w:r>
        <w:t xml:space="preserve">No. Such a comment only visually links the requirement to the code, making it easier to read; the evidence</w:t>
      </w:r>
      <w:r>
        <w:t xml:space="preserve"> </w:t>
      </w:r>
      <w:r>
        <w:t xml:space="preserve">must still be a separate test/record/log file.</w:t>
      </w:r>
    </w:p>
    <w:p>
      <w:pPr>
        <w:pStyle w:val="BlockText"/>
      </w:pPr>
      <w:r>
        <w:rPr>
          <w:b/>
          <w:bCs/>
        </w:rPr>
        <w:t xml:space="preserve">32. Can a requirement belong to both the AS (asset protection) and DU (data in use) families?</w:t>
      </w:r>
    </w:p>
    <w:p>
      <w:pPr>
        <w:pStyle w:val="BlockText"/>
      </w:pPr>
      <w:r>
        <w:t xml:space="preserve">Yes. AS asks about the asset’s inventory/classification, DU asks about the same asset’s state while in use;</w:t>
      </w:r>
      <w:r>
        <w:t xml:space="preserve"> </w:t>
      </w:r>
      <w:r>
        <w:t xml:space="preserve">the same asset (e.g., a key) can be the subject of both kinds of requirement.</w:t>
      </w:r>
    </w:p>
    <w:p>
      <w:pPr>
        <w:pStyle w:val="BlockText"/>
      </w:pPr>
      <w:r>
        <w:rPr>
          <w:b/>
          <w:bCs/>
        </w:rPr>
        <w:t xml:space="preserve">33. What is the concrete risk of not stating a version/year when claiming compliance with a standard?</w:t>
      </w:r>
    </w:p>
    <w:p>
      <w:pPr>
        <w:pStyle w:val="BlockText"/>
      </w:pPr>
      <w:r>
        <w:t xml:space="preserve">The evaluator can’t know which checklist to compare against; since clause numbers and groupings can change</w:t>
      </w:r>
      <w:r>
        <w:t xml:space="preserve"> </w:t>
      </w:r>
      <w:r>
        <w:t xml:space="preserve">between old and new versions of a standard, the claim becomes unverifiable.</w:t>
      </w:r>
    </w:p>
    <w:p>
      <w:r>
        <w:pict>
          <v:rect style="width:0;height:1.5pt" o:hralign="center" o:hrstd="t" o:hr="t"/>
        </w:pict>
      </w:r>
    </w:p>
    <w:bookmarkEnd w:id="149"/>
    <w:bookmarkStart w:id="153" w:name="resources-and-further-reading"/>
    <w:p>
      <w:pPr>
        <w:pStyle w:val="Heading2"/>
      </w:pPr>
      <w:r>
        <w:t xml:space="preserve">12. Resources and further reading</w:t>
      </w:r>
    </w:p>
    <w:p>
      <w:pPr>
        <w:pStyle w:val="FirstParagraph"/>
      </w:pPr>
      <w:r>
        <w:rPr>
          <w:b/>
          <w:bCs/>
        </w:rPr>
        <w:t xml:space="preserve">Textbook</w:t>
      </w:r>
      <w:r>
        <w:t xml:space="preserve"> </w:t>
      </w:r>
      <w:r>
        <w:t xml:space="preserve">— J. Viega, M. Messier,</w:t>
      </w:r>
      <w:r>
        <w:t xml:space="preserve"> </w:t>
      </w:r>
      <w:r>
        <w:rPr>
          <w:i/>
          <w:iCs/>
        </w:rPr>
        <w:t xml:space="preserve">Secure Programming Cookbook for C and C++</w:t>
      </w:r>
      <w:r>
        <w:t xml:space="preserve">, O’Reilly, 2003: Recipe 11.18</w:t>
      </w:r>
      <w:r>
        <w:t xml:space="preserve"> </w:t>
      </w:r>
      <w:r>
        <w:t xml:space="preserve">(statistical randomness tests and the FIPS 140 context; today, FIPS 140-3 and NIST SP 800-90B/22).</w:t>
      </w:r>
    </w:p>
    <w:p>
      <w:pPr>
        <w:pStyle w:val="BodyText"/>
      </w:pPr>
      <w:r>
        <w:rPr>
          <w:b/>
          <w:bCs/>
        </w:rPr>
        <w:t xml:space="preserve">Open standards and sources</w:t>
      </w:r>
    </w:p>
    <w:p>
      <w:pPr>
        <w:pStyle w:val="Compact"/>
        <w:numPr>
          <w:ilvl w:val="0"/>
          <w:numId w:val="1045"/>
        </w:numPr>
      </w:pPr>
      <w:r>
        <w:t xml:space="preserve">ISO/IEC 15408 (Common Criteria) and ISO/IEC 18045 (CEM); the protection profiles at commoncriteriaportal.org.</w:t>
      </w:r>
    </w:p>
    <w:p>
      <w:pPr>
        <w:pStyle w:val="Compact"/>
        <w:numPr>
          <w:ilvl w:val="0"/>
          <w:numId w:val="1045"/>
        </w:numPr>
      </w:pPr>
      <w:r>
        <w:t xml:space="preserve">FIPS 140-3, ISO/IEC 19790 and 24759; the NIST SP 800-140 series; CMVP and CAVP.</w:t>
      </w:r>
    </w:p>
    <w:p>
      <w:pPr>
        <w:pStyle w:val="Compact"/>
        <w:numPr>
          <w:ilvl w:val="0"/>
          <w:numId w:val="1045"/>
        </w:numPr>
      </w:pPr>
      <w:r>
        <w:t xml:space="preserve">ETSI EN 303 645 and ETSI TS 103 701 (conformity assessment).</w:t>
      </w:r>
    </w:p>
    <w:p>
      <w:pPr>
        <w:pStyle w:val="Compact"/>
        <w:numPr>
          <w:ilvl w:val="0"/>
          <w:numId w:val="1045"/>
        </w:numPr>
      </w:pPr>
      <w:r>
        <w:t xml:space="preserve">GSMA IoT Security Guidelines; GSMA SAS.</w:t>
      </w:r>
    </w:p>
    <w:p>
      <w:pPr>
        <w:pStyle w:val="Compact"/>
        <w:numPr>
          <w:ilvl w:val="0"/>
          <w:numId w:val="1045"/>
        </w:numPr>
      </w:pPr>
      <w:r>
        <w:t xml:space="preserve">EMVCo software-based mobile payment documents (general structure); PCI MPoC, PCI DSS v4.0, PCI Secure Software</w:t>
      </w:r>
      <w:r>
        <w:t xml:space="preserve"> </w:t>
      </w:r>
      <w:r>
        <w:t xml:space="preserve">Framework.</w:t>
      </w:r>
    </w:p>
    <w:p>
      <w:pPr>
        <w:pStyle w:val="Compact"/>
        <w:numPr>
          <w:ilvl w:val="0"/>
          <w:numId w:val="1045"/>
        </w:numPr>
      </w:pPr>
      <w:r>
        <w:t xml:space="preserve">OWASP MASVS and MASTG; NIST SP 800-218 (SSDF).</w:t>
      </w:r>
    </w:p>
    <w:p>
      <w:pPr>
        <w:pStyle w:val="Compact"/>
        <w:numPr>
          <w:ilvl w:val="0"/>
          <w:numId w:val="1045"/>
        </w:numPr>
      </w:pPr>
      <w:r>
        <w:t xml:space="preserve">RFC 2119 / RFC 8174 (requirement keywords).</w:t>
      </w:r>
    </w:p>
    <w:bookmarkStart w:id="150" w:name="why-we-chose-these-sources-this-way"/>
    <w:p>
      <w:pPr>
        <w:pStyle w:val="Heading3"/>
      </w:pPr>
      <w:r>
        <w:t xml:space="preserve">Why we chose these sources this way</w:t>
      </w:r>
    </w:p>
    <w:p>
      <w:pPr>
        <w:pStyle w:val="FirstParagraph"/>
      </w:pPr>
      <w:r>
        <w:t xml:space="preserve">This week’s source list is deliberately made up of</w:t>
      </w:r>
      <w:r>
        <w:t xml:space="preserve"> </w:t>
      </w:r>
      <w:r>
        <w:rPr>
          <w:b/>
          <w:bCs/>
        </w:rPr>
        <w:t xml:space="preserve">open and freely accessible</w:t>
      </w:r>
      <w:r>
        <w:t xml:space="preserve"> </w:t>
      </w:r>
      <w:r>
        <w:t xml:space="preserve">standards (except for the card</w:t>
      </w:r>
      <w:r>
        <w:t xml:space="preserve"> </w:t>
      </w:r>
      <w:r>
        <w:t xml:space="preserve">schemes’ own texts, since those are shared under a non-disclosure agreement — see the info box at the top of the</w:t>
      </w:r>
      <w:r>
        <w:t xml:space="preserve"> </w:t>
      </w:r>
      <w:r>
        <w:t xml:space="preserve">page). The goal is to offer sources you can still access after this course, and can reference directly in your</w:t>
      </w:r>
      <w:r>
        <w:t xml:space="preserve"> </w:t>
      </w:r>
      <w:r>
        <w:t xml:space="preserve">project; when you say</w:t>
      </w:r>
      <w:r>
        <w:t xml:space="preserve"> </w:t>
      </w:r>
      <w:r>
        <w:t xml:space="preserve">“standard X says this”</w:t>
      </w:r>
      <w:r>
        <w:t xml:space="preserve"> </w:t>
      </w:r>
      <w:r>
        <w:t xml:space="preserve">on an exam or in the project, we want to make sure that standard is</w:t>
      </w:r>
      <w:r>
        <w:t xml:space="preserve"> </w:t>
      </w:r>
      <w:r>
        <w:t xml:space="preserve">genuinely accessible.</w:t>
      </w:r>
    </w:p>
    <w:p>
      <w:pPr>
        <w:pStyle w:val="BlockText"/>
      </w:pPr>
      <w:r>
        <w:rPr>
          <w:b/>
          <w:bCs/>
        </w:rPr>
        <w:t xml:space="preserve">Common mistake: not stating which version of the standard you’re looking at</w:t>
      </w:r>
    </w:p>
    <w:p>
      <w:pPr>
        <w:pStyle w:val="BlockText"/>
      </w:pPr>
      <w:r>
        <w:t xml:space="preserve">Standards get updated over time (FIPS 140-2 → 140-3, MASVS v1 → v2, ETSI EN 303 645’s first version → later</w:t>
      </w:r>
      <w:r>
        <w:t xml:space="preserve"> </w:t>
      </w:r>
      <w:r>
        <w:t xml:space="preserve">revisions). Saying</w:t>
      </w:r>
      <w:r>
        <w:t xml:space="preserve"> </w:t>
      </w:r>
      <w:r>
        <w:t xml:space="preserve">“according to OWASP MASVS…”</w:t>
      </w:r>
      <w:r>
        <w:t xml:space="preserve"> </w:t>
      </w:r>
      <w:r>
        <w:t xml:space="preserve">without stating which version leaves the evaluator not</w:t>
      </w:r>
      <w:r>
        <w:t xml:space="preserve"> </w:t>
      </w:r>
      <w:r>
        <w:t xml:space="preserve">knowing which checklist was used; clause numbers and groupings can change between two versions.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Add a</w:t>
      </w:r>
      <w:r>
        <w:t xml:space="preserve"> </w:t>
      </w:r>
      <w:r>
        <w:rPr>
          <w:b/>
          <w:bCs/>
        </w:rPr>
        <w:t xml:space="preserve">version and/or year</w:t>
      </w:r>
      <w:r>
        <w:t xml:space="preserve"> </w:t>
      </w:r>
      <w:r>
        <w:t xml:space="preserve">to every standard reference in your guide and in the S1 (sources) section (e.g.,</w:t>
      </w:r>
      <w:r>
        <w:t xml:space="preserve"> </w:t>
      </w:r>
      <w:r>
        <w:t xml:space="preserve">“OWASP MASVS v2.0,”</w:t>
      </w:r>
      <w:r>
        <w:t xml:space="preserve"> </w:t>
      </w:r>
      <w:r>
        <w:t xml:space="preserve">“FIPS 140-3 (2019),”</w:t>
      </w:r>
      <w:r>
        <w:t xml:space="preserve"> </w:t>
      </w:r>
      <w:r>
        <w:t xml:space="preserve">“PCI DSS v4.0”</w:t>
      </w:r>
      <w:r>
        <w:t xml:space="preserve">). This lets the evaluator compare against the correct</w:t>
      </w:r>
      <w:r>
        <w:t xml:space="preserve"> </w:t>
      </w:r>
      <w:r>
        <w:t xml:space="preserve">checklist.</w:t>
      </w:r>
    </w:p>
    <w:bookmarkEnd w:id="150"/>
    <w:bookmarkStart w:id="151" w:name="how-you-format-sources-in-s1-example"/>
    <w:p>
      <w:pPr>
        <w:pStyle w:val="Heading3"/>
      </w:pPr>
      <w:r>
        <w:t xml:space="preserve">How you format sources in S1 (example)</w:t>
      </w:r>
    </w:p>
    <w:p>
      <w:pPr>
        <w:pStyle w:val="SourceCode"/>
      </w:pPr>
      <w:r>
        <w:rPr>
          <w:rStyle w:val="VerbatimChar"/>
        </w:rPr>
        <w:t xml:space="preserve">S1 — Sources (example format)</w:t>
      </w:r>
      <w:r>
        <w:br/>
      </w:r>
      <w:r>
        <w:rPr>
          <w:rStyle w:val="VerbatimChar"/>
        </w:rPr>
        <w:t xml:space="preserve">[1] ETSI EN 303 645 V2.1.1, "Cyber Security for Consumer Internet of Things: Baseline Requirements."</w:t>
      </w:r>
      <w:r>
        <w:br/>
      </w:r>
      <w:r>
        <w:rPr>
          <w:rStyle w:val="VerbatimChar"/>
        </w:rPr>
        <w:t xml:space="preserve">[2] ISO/IEC 15408-1:2022, Common Criteria for Information Technology Security Evaluation.</w:t>
      </w:r>
      <w:r>
        <w:br/>
      </w:r>
      <w:r>
        <w:rPr>
          <w:rStyle w:val="VerbatimChar"/>
        </w:rPr>
        <w:t xml:space="preserve">[3] OWASP Mobile Application Security Verification Standard (MASVS) v2.0.</w:t>
      </w:r>
      <w:r>
        <w:br/>
      </w:r>
      <w:r>
        <w:rPr>
          <w:rStyle w:val="VerbatimChar"/>
        </w:rPr>
        <w:t xml:space="preserve">[4] NIST FIPS 140-3 (2019), Security Requirements for Cryptographic Modules.</w:t>
      </w:r>
    </w:p>
    <w:p>
      <w:pPr>
        <w:pStyle w:val="FirstParagraph"/>
      </w:pPr>
      <w:r>
        <w:t xml:space="preserve">Listing every source with its version/date information is a direct application of the rule at the start of this</w:t>
      </w:r>
      <w:r>
        <w:t xml:space="preserve"> </w:t>
      </w:r>
      <w:r>
        <w:t xml:space="preserve">section; the same format can also be used when referencing a standard in the requirement blocks (Section 3) of</w:t>
      </w:r>
      <w:r>
        <w:t xml:space="preserve"> </w:t>
      </w:r>
      <w:r>
        <w:t xml:space="preserve">your guide.</w:t>
      </w:r>
    </w:p>
    <w:bookmarkEnd w:id="151"/>
    <w:bookmarkStart w:id="152" w:name="this-weeks-short-summary"/>
    <w:p>
      <w:pPr>
        <w:pStyle w:val="Heading3"/>
      </w:pPr>
      <w:r>
        <w:t xml:space="preserve">This week’s short summary</w:t>
      </w:r>
    </w:p>
    <w:p>
      <w:pPr>
        <w:pStyle w:val="FirstParagraph"/>
      </w:pPr>
      <w:r>
        <w:t xml:space="preserve">This week we saw how to write a good requirement from scratch (Section 1), how to trace it all the way to</w:t>
      </w:r>
      <w:r>
        <w:t xml:space="preserve"> </w:t>
      </w:r>
      <w:r>
        <w:t xml:space="preserve">evidence (Section 2), how to write it correctly into the guide (Section 3), and how the major standard families</w:t>
      </w:r>
      <w:r>
        <w:t xml:space="preserve"> </w:t>
      </w:r>
      <w:r>
        <w:t xml:space="preserve">(Common Criteria, FIPS 140-3, ETSI/GSMA/EMVCo/PCI/MASVS) express the same needs in different words (Sections 4–6).</w:t>
      </w:r>
      <w:r>
        <w:t xml:space="preserve"> </w:t>
      </w:r>
      <w:r>
        <w:t xml:space="preserve">In Sections 7–8 we covered how to carry these into your project, and in Section 9, how to prepare this week’s</w:t>
      </w:r>
      <w:r>
        <w:t xml:space="preserve"> </w:t>
      </w:r>
      <w:r>
        <w:t xml:space="preserve">concrete deliverable step by step. The asset table you’ve gathered since the start of the term (Week 1), the</w:t>
      </w:r>
      <w:r>
        <w:t xml:space="preserve"> </w:t>
      </w:r>
      <w:r>
        <w:t xml:space="preserve">protection rules (Week 9), and the assessment process (last week) all come together this week in a single</w:t>
      </w:r>
      <w:r>
        <w:t xml:space="preserve"> </w:t>
      </w:r>
      <w:r>
        <w:t xml:space="preserve">document (the compliance matrix) — in the coming weeks, this document will be the first and most important page</w:t>
      </w:r>
      <w:r>
        <w:t xml:space="preserve"> </w:t>
      </w:r>
      <w:r>
        <w:t xml:space="preserve">you present to the evaluator for your project.</w:t>
      </w:r>
    </w:p>
    <w:p>
      <w:pPr>
        <w:pStyle w:val="BlockText"/>
      </w:pPr>
      <w:r>
        <w:rPr>
          <w:b/>
          <w:bCs/>
        </w:rPr>
        <w:t xml:space="preserve">Glossary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Turkish</w:t>
            </w:r>
          </w:p>
        </w:tc>
        <w:tc>
          <w:tcPr/>
          <w:p>
            <w:pPr>
              <w:pStyle w:val="Compact"/>
            </w:pPr>
            <w:r>
              <w:t xml:space="preserve">Short definition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 matrix</w:t>
            </w:r>
          </w:p>
        </w:tc>
        <w:tc>
          <w:tcPr/>
          <w:p>
            <w:pPr>
              <w:pStyle w:val="Compact"/>
            </w:pPr>
            <w:r>
              <w:t xml:space="preserve">Uyum matrisi</w:t>
            </w:r>
          </w:p>
        </w:tc>
        <w:tc>
          <w:tcPr/>
          <w:p>
            <w:pPr>
              <w:pStyle w:val="Compact"/>
            </w:pPr>
            <w:r>
              <w:t xml:space="preserve">Requirement → control → verification → evidence → status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Deferred requirement</w:t>
            </w:r>
          </w:p>
        </w:tc>
        <w:tc>
          <w:tcPr/>
          <w:p>
            <w:pPr>
              <w:pStyle w:val="Compact"/>
            </w:pPr>
            <w:r>
              <w:t xml:space="preserve">Devredilen gereksinim</w:t>
            </w:r>
          </w:p>
        </w:tc>
        <w:tc>
          <w:tcPr/>
          <w:p>
            <w:pPr>
              <w:pStyle w:val="Compact"/>
            </w:pPr>
            <w:r>
              <w:t xml:space="preserve">A requirement another party must meet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TOE</w:t>
            </w:r>
          </w:p>
        </w:tc>
        <w:tc>
          <w:tcPr/>
          <w:p>
            <w:pPr>
              <w:pStyle w:val="Compact"/>
            </w:pPr>
            <w:r>
              <w:t xml:space="preserve">Değerlendirme hedefi</w:t>
            </w:r>
          </w:p>
        </w:tc>
        <w:tc>
          <w:tcPr/>
          <w:p>
            <w:pPr>
              <w:pStyle w:val="Compact"/>
            </w:pPr>
            <w:r>
              <w:t xml:space="preserve">The product being evaluated and its documents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Target (ST)</w:t>
            </w:r>
          </w:p>
        </w:tc>
        <w:tc>
          <w:tcPr/>
          <w:p>
            <w:pPr>
              <w:pStyle w:val="Compact"/>
            </w:pPr>
            <w:r>
              <w:t xml:space="preserve">Güvenlik hedefi</w:t>
            </w:r>
          </w:p>
        </w:tc>
        <w:tc>
          <w:tcPr/>
          <w:p>
            <w:pPr>
              <w:pStyle w:val="Compact"/>
            </w:pPr>
            <w:r>
              <w:t xml:space="preserve">A product-specific threat, objective, and requirement document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Protection Profile (PP)</w:t>
            </w:r>
          </w:p>
        </w:tc>
        <w:tc>
          <w:tcPr/>
          <w:p>
            <w:pPr>
              <w:pStyle w:val="Compact"/>
            </w:pPr>
            <w:r>
              <w:t xml:space="preserve">Koruma profili</w:t>
            </w:r>
          </w:p>
        </w:tc>
        <w:tc>
          <w:tcPr/>
          <w:p>
            <w:pPr>
              <w:pStyle w:val="Compact"/>
            </w:pPr>
            <w:r>
              <w:t xml:space="preserve">A common requirement set for a product class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SFR / SAR</w:t>
            </w:r>
          </w:p>
        </w:tc>
        <w:tc>
          <w:tcPr/>
          <w:p>
            <w:pPr>
              <w:pStyle w:val="Compact"/>
            </w:pPr>
            <w:r>
              <w:t xml:space="preserve">İşlevsel / güvence gereksinimi</w:t>
            </w:r>
          </w:p>
        </w:tc>
        <w:tc>
          <w:tcPr/>
          <w:p>
            <w:pPr>
              <w:pStyle w:val="Compact"/>
            </w:pPr>
            <w:r>
              <w:t xml:space="preserve">CC requirement types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EAL</w:t>
            </w:r>
          </w:p>
        </w:tc>
        <w:tc>
          <w:tcPr/>
          <w:p>
            <w:pPr>
              <w:pStyle w:val="Compact"/>
            </w:pPr>
            <w:r>
              <w:t xml:space="preserve">Değerlendirme güvence düzeyi</w:t>
            </w:r>
          </w:p>
        </w:tc>
        <w:tc>
          <w:tcPr/>
          <w:p>
            <w:pPr>
              <w:pStyle w:val="Compact"/>
            </w:pPr>
            <w:r>
              <w:t xml:space="preserve">CC’s assurance packages (1–7)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Attack potential</w:t>
            </w:r>
          </w:p>
        </w:tc>
        <w:tc>
          <w:tcPr/>
          <w:p>
            <w:pPr>
              <w:pStyle w:val="Compact"/>
            </w:pPr>
            <w:r>
              <w:t xml:space="preserve">Saldırı potansiyeli</w:t>
            </w:r>
          </w:p>
        </w:tc>
        <w:tc>
          <w:tcPr/>
          <w:p>
            <w:pPr>
              <w:pStyle w:val="Compact"/>
            </w:pPr>
            <w:r>
              <w:t xml:space="preserve">The score of resources needed for a successful attack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Zeroization</w:t>
            </w:r>
          </w:p>
        </w:tc>
        <w:tc>
          <w:tcPr/>
          <w:p>
            <w:pPr>
              <w:pStyle w:val="Compact"/>
            </w:pPr>
            <w:r>
              <w:t xml:space="preserve">Sıfırlama</w:t>
            </w:r>
          </w:p>
        </w:tc>
        <w:tc>
          <w:tcPr/>
          <w:p>
            <w:pPr>
              <w:pStyle w:val="Compact"/>
            </w:pPr>
            <w:r>
              <w:t xml:space="preserve">The secure erasure of critical parameters</w:t>
            </w:r>
          </w:p>
        </w:tc>
      </w:tr>
    </w:tbl>
    <w:bookmarkEnd w:id="152"/>
    <w:bookmarkEnd w:id="153"/>
    <w:bookmarkEnd w:id="154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2"/>
  </w:num>
  <w:num w:numId="1035">
    <w:abstractNumId w:val="992"/>
  </w:num>
  <w:num w:numId="1036">
    <w:abstractNumId w:val="992"/>
  </w:num>
  <w:num w:numId="1037">
    <w:abstractNumId w:val="992"/>
  </w:num>
  <w:num w:numId="103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0">
    <w:abstractNumId w:val="992"/>
  </w:num>
  <w:num w:numId="1041">
    <w:abstractNumId w:val="992"/>
  </w:num>
  <w:num w:numId="1042">
    <w:abstractNumId w:val="992"/>
  </w:num>
  <w:num w:numId="1043">
    <w:abstractNumId w:val="992"/>
  </w:num>
  <w:num w:numId="1044">
    <w:abstractNumId w:val="992"/>
  </w:num>
  <w:num w:numId="104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55" Target="media/rId55.png" /><Relationship Type="http://schemas.openxmlformats.org/officeDocument/2006/relationships/image" Id="rId123" Target="media/rId123.png" /><Relationship Type="http://schemas.openxmlformats.org/officeDocument/2006/relationships/image" Id="rId44" Target="media/rId44.png" /><Relationship Type="http://schemas.openxmlformats.org/officeDocument/2006/relationships/image" Id="rId41" Target="media/rId41.png" /><Relationship Type="http://schemas.openxmlformats.org/officeDocument/2006/relationships/image" Id="rId69" Target="media/rId69.png" /><Relationship Type="http://schemas.openxmlformats.org/officeDocument/2006/relationships/image" Id="rId66" Target="media/rId66.png" /><Relationship Type="http://schemas.openxmlformats.org/officeDocument/2006/relationships/image" Id="rId81" Target="media/rId81.png" /><Relationship Type="http://schemas.openxmlformats.org/officeDocument/2006/relationships/image" Id="rId94" Target="media/rId94.png" /><Relationship Type="http://schemas.openxmlformats.org/officeDocument/2006/relationships/image" Id="rId106" Target="media/rId106.png" /><Relationship Type="http://schemas.openxmlformats.org/officeDocument/2006/relationships/image" Id="rId120" Target="media/rId120.png" /><Relationship Type="http://schemas.openxmlformats.org/officeDocument/2006/relationships/image" Id="rId131" Target="media/rId131.png" /><Relationship Type="http://schemas.openxmlformats.org/officeDocument/2006/relationships/hyperlink" Id="rId20" Target="https://github.com/ucoruh/cen429-secure-programming/tree/main/code/week-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github.com/ucoruh/cen429-secure-programming/tree/main/code/week-13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2026-09-23T17:04:50Z</dcterms:created>
  <dcterms:modified xsi:type="dcterms:W3CDTF">2026-09-23T17:04:50Z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13 — Security Requirements</vt:lpwstr>
  </property>
</Properties>
</file>